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 w:line="266" w:lineRule="auto"/>
        <w:ind w:left="3038" w:leftChars="626" w:right="998" w:hanging="1661" w:hangingChars="376"/>
        <w:jc w:val="left"/>
        <w:rPr>
          <w:b/>
          <w:sz w:val="44"/>
        </w:rPr>
      </w:pPr>
      <w:bookmarkStart w:id="0" w:name="_bookmark1"/>
      <w:bookmarkEnd w:id="0"/>
      <w:r>
        <w:rPr>
          <w:rFonts w:hint="eastAsia"/>
          <w:b/>
          <w:sz w:val="44"/>
          <w:lang w:val="en-US" w:eastAsia="zh-CN"/>
        </w:rPr>
        <w:t>山西省统计局朔州市调查监测中心</w:t>
      </w:r>
      <w:r>
        <w:rPr>
          <w:b/>
          <w:sz w:val="44"/>
        </w:rPr>
        <w:t>20</w:t>
      </w:r>
      <w:r>
        <w:rPr>
          <w:rFonts w:hint="eastAsia"/>
          <w:b/>
          <w:sz w:val="44"/>
          <w:lang w:val="en-US" w:eastAsia="zh-CN"/>
        </w:rPr>
        <w:t>21</w:t>
      </w:r>
      <w:r>
        <w:rPr>
          <w:b/>
          <w:sz w:val="44"/>
        </w:rPr>
        <w:t>年度部门决算</w:t>
      </w:r>
    </w:p>
    <w:p>
      <w:pPr>
        <w:spacing w:before="0" w:line="240" w:lineRule="auto"/>
        <w:rPr>
          <w:b/>
          <w:sz w:val="20"/>
        </w:rPr>
      </w:pPr>
    </w:p>
    <w:p>
      <w:pPr>
        <w:spacing w:before="0" w:line="240" w:lineRule="auto"/>
        <w:rPr>
          <w:b/>
          <w:sz w:val="20"/>
        </w:rPr>
      </w:pPr>
    </w:p>
    <w:p>
      <w:pPr>
        <w:pStyle w:val="2"/>
        <w:tabs>
          <w:tab w:val="left" w:pos="801"/>
        </w:tabs>
        <w:spacing w:before="184"/>
        <w:ind w:right="36"/>
        <w:jc w:val="center"/>
        <w:rPr>
          <w:rFonts w:hint="eastAsia" w:ascii="黑体" w:eastAsia="黑体"/>
        </w:rPr>
      </w:pPr>
      <w:r>
        <w:rPr>
          <w:rFonts w:hint="eastAsia" w:ascii="黑体" w:eastAsia="黑体"/>
        </w:rPr>
        <w:t>目</w:t>
      </w:r>
      <w:r>
        <w:rPr>
          <w:rFonts w:hint="eastAsia" w:ascii="黑体" w:eastAsia="黑体"/>
        </w:rPr>
        <w:tab/>
      </w:r>
      <w:r>
        <w:rPr>
          <w:rFonts w:hint="eastAsia" w:ascii="黑体" w:eastAsia="黑体"/>
        </w:rPr>
        <w:t>录</w:t>
      </w:r>
    </w:p>
    <w:p>
      <w:pPr>
        <w:tabs>
          <w:tab w:val="left" w:pos="1540"/>
          <w:tab w:val="left" w:leader="dot" w:pos="8387"/>
        </w:tabs>
        <w:spacing w:before="242"/>
        <w:ind w:left="0" w:right="34" w:firstLine="0"/>
        <w:jc w:val="center"/>
        <w:rPr>
          <w:rFonts w:ascii="Calibri" w:eastAsia="Calibri"/>
          <w:sz w:val="28"/>
        </w:rPr>
      </w:pPr>
      <w:r>
        <w:fldChar w:fldCharType="begin"/>
      </w:r>
      <w:r>
        <w:instrText xml:space="preserve"> HYPERLINK \l "_bookmark0" </w:instrText>
      </w:r>
      <w:r>
        <w:fldChar w:fldCharType="separate"/>
      </w:r>
      <w:r>
        <w:rPr>
          <w:rFonts w:hint="eastAsia" w:ascii="黑体" w:eastAsia="黑体"/>
          <w:sz w:val="28"/>
        </w:rPr>
        <w:t>第一部分</w:t>
      </w:r>
      <w:r>
        <w:rPr>
          <w:rFonts w:hint="eastAsia" w:ascii="黑体" w:eastAsia="黑体"/>
          <w:sz w:val="28"/>
        </w:rPr>
        <w:tab/>
      </w:r>
      <w:r>
        <w:rPr>
          <w:rFonts w:hint="eastAsia" w:ascii="黑体" w:eastAsia="黑体"/>
          <w:sz w:val="28"/>
        </w:rPr>
        <w:t>单位</w:t>
      </w:r>
      <w:r>
        <w:rPr>
          <w:rFonts w:hint="eastAsia" w:ascii="黑体" w:eastAsia="黑体"/>
          <w:spacing w:val="-3"/>
          <w:sz w:val="28"/>
        </w:rPr>
        <w:t>概况</w:t>
      </w:r>
      <w:r>
        <w:rPr>
          <w:rFonts w:hint="eastAsia" w:ascii="黑体" w:eastAsia="黑体"/>
          <w:spacing w:val="-3"/>
          <w:sz w:val="28"/>
        </w:rPr>
        <w:tab/>
      </w:r>
      <w:r>
        <w:rPr>
          <w:rFonts w:ascii="Calibri" w:eastAsia="Calibri"/>
          <w:sz w:val="28"/>
        </w:rPr>
        <w:t>3</w:t>
      </w:r>
      <w:r>
        <w:rPr>
          <w:rFonts w:ascii="Calibri" w:eastAsia="Calibri"/>
          <w:sz w:val="28"/>
        </w:rPr>
        <w:fldChar w:fldCharType="end"/>
      </w:r>
    </w:p>
    <w:p>
      <w:pPr>
        <w:tabs>
          <w:tab w:val="left" w:leader="dot" w:pos="8617"/>
        </w:tabs>
        <w:spacing w:before="266"/>
        <w:ind w:left="650" w:right="0" w:firstLine="0"/>
        <w:jc w:val="left"/>
        <w:rPr>
          <w:rFonts w:ascii="Calibri" w:eastAsia="Calibri"/>
          <w:sz w:val="28"/>
        </w:rPr>
      </w:pPr>
      <w:r>
        <w:fldChar w:fldCharType="begin"/>
      </w:r>
      <w:r>
        <w:instrText xml:space="preserve"> HYPERLINK \l "_bookmark1" </w:instrText>
      </w:r>
      <w:r>
        <w:fldChar w:fldCharType="separate"/>
      </w:r>
      <w:r>
        <w:rPr>
          <w:rFonts w:hint="eastAsia" w:ascii="楷体" w:eastAsia="楷体"/>
          <w:sz w:val="28"/>
        </w:rPr>
        <w:t>一、部</w:t>
      </w:r>
      <w:r>
        <w:rPr>
          <w:rFonts w:hint="eastAsia" w:ascii="楷体" w:eastAsia="楷体"/>
          <w:spacing w:val="-3"/>
          <w:sz w:val="28"/>
        </w:rPr>
        <w:t>门</w:t>
      </w:r>
      <w:r>
        <w:rPr>
          <w:rFonts w:hint="eastAsia" w:ascii="楷体" w:eastAsia="楷体"/>
          <w:sz w:val="28"/>
        </w:rPr>
        <w:t>职责</w:t>
      </w:r>
      <w:r>
        <w:rPr>
          <w:rFonts w:hint="eastAsia" w:ascii="楷体" w:eastAsia="楷体"/>
          <w:sz w:val="28"/>
        </w:rPr>
        <w:tab/>
      </w:r>
      <w:r>
        <w:rPr>
          <w:rFonts w:ascii="Calibri" w:eastAsia="Calibri"/>
          <w:sz w:val="28"/>
        </w:rPr>
        <w:t>3</w:t>
      </w:r>
      <w:r>
        <w:rPr>
          <w:rFonts w:ascii="Calibri" w:eastAsia="Calibri"/>
          <w:sz w:val="28"/>
        </w:rPr>
        <w:fldChar w:fldCharType="end"/>
      </w:r>
    </w:p>
    <w:p>
      <w:pPr>
        <w:tabs>
          <w:tab w:val="left" w:leader="dot" w:pos="8617"/>
        </w:tabs>
        <w:spacing w:before="265"/>
        <w:ind w:left="650" w:right="0" w:firstLine="0"/>
        <w:jc w:val="left"/>
        <w:rPr>
          <w:rFonts w:ascii="Calibri" w:eastAsia="Calibri"/>
          <w:sz w:val="28"/>
        </w:rPr>
      </w:pPr>
      <w:r>
        <w:fldChar w:fldCharType="begin"/>
      </w:r>
      <w:r>
        <w:instrText xml:space="preserve"> HYPERLINK \l "_bookmark2" </w:instrText>
      </w:r>
      <w:r>
        <w:fldChar w:fldCharType="separate"/>
      </w:r>
      <w:r>
        <w:rPr>
          <w:rFonts w:hint="eastAsia" w:ascii="楷体" w:eastAsia="楷体"/>
          <w:sz w:val="28"/>
        </w:rPr>
        <w:t>二、机</w:t>
      </w:r>
      <w:r>
        <w:rPr>
          <w:rFonts w:hint="eastAsia" w:ascii="楷体" w:eastAsia="楷体"/>
          <w:spacing w:val="-3"/>
          <w:sz w:val="28"/>
        </w:rPr>
        <w:t>构</w:t>
      </w:r>
      <w:r>
        <w:rPr>
          <w:rFonts w:hint="eastAsia" w:ascii="楷体" w:eastAsia="楷体"/>
          <w:sz w:val="28"/>
        </w:rPr>
        <w:t>设置</w:t>
      </w:r>
      <w:r>
        <w:rPr>
          <w:rFonts w:hint="eastAsia" w:ascii="楷体" w:eastAsia="楷体"/>
          <w:sz w:val="28"/>
        </w:rPr>
        <w:tab/>
      </w:r>
      <w:r>
        <w:rPr>
          <w:rFonts w:hint="eastAsia" w:ascii="Calibri"/>
          <w:sz w:val="28"/>
          <w:lang w:val="en-US" w:eastAsia="zh-CN"/>
        </w:rPr>
        <w:t>4</w:t>
      </w:r>
      <w:r>
        <w:rPr>
          <w:rFonts w:ascii="Calibri" w:eastAsia="Calibri"/>
          <w:sz w:val="28"/>
        </w:rPr>
        <w:fldChar w:fldCharType="end"/>
      </w:r>
    </w:p>
    <w:p>
      <w:pPr>
        <w:tabs>
          <w:tab w:val="left" w:pos="1540"/>
          <w:tab w:val="left" w:leader="dot" w:pos="8387"/>
        </w:tabs>
        <w:spacing w:before="266"/>
        <w:ind w:left="0" w:right="34" w:firstLine="0"/>
        <w:jc w:val="center"/>
        <w:rPr>
          <w:rFonts w:hint="eastAsia" w:ascii="Calibri" w:eastAsia="宋体"/>
          <w:sz w:val="28"/>
          <w:lang w:val="en-US" w:eastAsia="zh-CN"/>
        </w:rPr>
      </w:pPr>
      <w:r>
        <w:fldChar w:fldCharType="begin"/>
      </w:r>
      <w:r>
        <w:instrText xml:space="preserve"> HYPERLINK \l "_bookmark3" </w:instrText>
      </w:r>
      <w:r>
        <w:fldChar w:fldCharType="separate"/>
      </w:r>
      <w:r>
        <w:rPr>
          <w:rFonts w:hint="eastAsia" w:ascii="黑体" w:eastAsia="黑体"/>
          <w:sz w:val="28"/>
        </w:rPr>
        <w:t>第二部分</w:t>
      </w:r>
      <w:r>
        <w:rPr>
          <w:rFonts w:hint="eastAsia" w:ascii="黑体" w:eastAsia="黑体"/>
          <w:sz w:val="28"/>
        </w:rPr>
        <w:tab/>
      </w:r>
      <w:r>
        <w:rPr>
          <w:rFonts w:hint="eastAsia" w:ascii="黑体" w:eastAsia="黑体"/>
          <w:sz w:val="28"/>
        </w:rPr>
        <w:t>20</w:t>
      </w:r>
      <w:r>
        <w:rPr>
          <w:rFonts w:hint="eastAsia" w:ascii="黑体" w:eastAsia="黑体"/>
          <w:sz w:val="28"/>
          <w:lang w:val="en-US" w:eastAsia="zh-CN"/>
        </w:rPr>
        <w:t>21</w:t>
      </w:r>
      <w:r>
        <w:rPr>
          <w:rFonts w:hint="eastAsia" w:ascii="黑体" w:eastAsia="黑体"/>
          <w:sz w:val="28"/>
        </w:rPr>
        <w:t>年度部门</w:t>
      </w:r>
      <w:r>
        <w:rPr>
          <w:rFonts w:hint="eastAsia" w:ascii="黑体" w:eastAsia="黑体"/>
          <w:spacing w:val="-3"/>
          <w:sz w:val="28"/>
        </w:rPr>
        <w:t>决</w:t>
      </w:r>
      <w:r>
        <w:rPr>
          <w:rFonts w:hint="eastAsia" w:ascii="黑体" w:eastAsia="黑体"/>
          <w:sz w:val="28"/>
        </w:rPr>
        <w:t>算公</w:t>
      </w:r>
      <w:r>
        <w:rPr>
          <w:rFonts w:hint="eastAsia" w:ascii="黑体" w:eastAsia="黑体"/>
          <w:spacing w:val="-3"/>
          <w:sz w:val="28"/>
        </w:rPr>
        <w:t>开报表</w:t>
      </w:r>
      <w:r>
        <w:rPr>
          <w:rFonts w:hint="eastAsia" w:ascii="黑体" w:eastAsia="黑体"/>
          <w:spacing w:val="-3"/>
          <w:sz w:val="28"/>
        </w:rPr>
        <w:tab/>
      </w:r>
      <w:r>
        <w:rPr>
          <w:rFonts w:hint="eastAsia" w:ascii="Calibri"/>
          <w:sz w:val="28"/>
          <w:lang w:val="en-US" w:eastAsia="zh-CN"/>
        </w:rPr>
        <w:t>1</w:t>
      </w:r>
      <w:r>
        <w:rPr>
          <w:rFonts w:ascii="Calibri" w:eastAsia="Calibri"/>
          <w:sz w:val="28"/>
        </w:rPr>
        <w:fldChar w:fldCharType="end"/>
      </w:r>
      <w:r>
        <w:rPr>
          <w:rFonts w:hint="eastAsia" w:ascii="Calibri"/>
          <w:sz w:val="28"/>
          <w:lang w:val="en-US" w:eastAsia="zh-CN"/>
        </w:rPr>
        <w:t>1</w:t>
      </w:r>
    </w:p>
    <w:p>
      <w:pPr>
        <w:tabs>
          <w:tab w:val="left" w:leader="dot" w:pos="8617"/>
        </w:tabs>
        <w:spacing w:before="265"/>
        <w:ind w:left="650" w:right="0" w:firstLine="0"/>
        <w:jc w:val="left"/>
        <w:rPr>
          <w:rFonts w:hint="eastAsia" w:ascii="Calibri" w:eastAsia="宋体"/>
          <w:sz w:val="28"/>
          <w:lang w:val="en-US" w:eastAsia="zh-CN"/>
        </w:rPr>
      </w:pPr>
      <w:r>
        <w:fldChar w:fldCharType="begin"/>
      </w:r>
      <w:r>
        <w:instrText xml:space="preserve"> HYPERLINK \l "_bookmark4" </w:instrText>
      </w:r>
      <w:r>
        <w:fldChar w:fldCharType="separate"/>
      </w:r>
      <w:r>
        <w:rPr>
          <w:rFonts w:hint="eastAsia" w:ascii="楷体" w:eastAsia="楷体"/>
          <w:sz w:val="28"/>
        </w:rPr>
        <w:t>一、20</w:t>
      </w:r>
      <w:r>
        <w:rPr>
          <w:rFonts w:hint="eastAsia" w:ascii="楷体" w:eastAsia="楷体"/>
          <w:sz w:val="28"/>
          <w:lang w:val="en-US" w:eastAsia="zh-CN"/>
        </w:rPr>
        <w:t>21</w:t>
      </w:r>
      <w:r>
        <w:rPr>
          <w:rFonts w:hint="eastAsia" w:ascii="楷体" w:eastAsia="楷体"/>
          <w:sz w:val="28"/>
        </w:rPr>
        <w:t>年收入</w:t>
      </w:r>
      <w:r>
        <w:rPr>
          <w:rFonts w:hint="eastAsia" w:ascii="楷体" w:eastAsia="楷体"/>
          <w:spacing w:val="-3"/>
          <w:sz w:val="28"/>
        </w:rPr>
        <w:t>支</w:t>
      </w:r>
      <w:r>
        <w:rPr>
          <w:rFonts w:hint="eastAsia" w:ascii="楷体" w:eastAsia="楷体"/>
          <w:sz w:val="28"/>
        </w:rPr>
        <w:t>出决算</w:t>
      </w:r>
      <w:r>
        <w:rPr>
          <w:rFonts w:hint="eastAsia" w:ascii="楷体" w:eastAsia="楷体"/>
          <w:spacing w:val="-3"/>
          <w:sz w:val="28"/>
        </w:rPr>
        <w:t>总表</w:t>
      </w:r>
      <w:r>
        <w:rPr>
          <w:rFonts w:hint="eastAsia" w:ascii="楷体" w:eastAsia="楷体"/>
          <w:spacing w:val="-3"/>
          <w:sz w:val="28"/>
        </w:rPr>
        <w:tab/>
      </w:r>
      <w:r>
        <w:rPr>
          <w:rFonts w:hint="eastAsia" w:ascii="Calibri"/>
          <w:sz w:val="28"/>
          <w:lang w:val="en-US" w:eastAsia="zh-CN"/>
        </w:rPr>
        <w:t>1</w:t>
      </w:r>
      <w:r>
        <w:rPr>
          <w:rFonts w:ascii="Calibri" w:eastAsia="Calibri"/>
          <w:sz w:val="28"/>
        </w:rPr>
        <w:fldChar w:fldCharType="end"/>
      </w:r>
      <w:r>
        <w:rPr>
          <w:rFonts w:hint="eastAsia" w:ascii="Calibri"/>
          <w:sz w:val="28"/>
          <w:lang w:val="en-US" w:eastAsia="zh-CN"/>
        </w:rPr>
        <w:t>1</w:t>
      </w:r>
    </w:p>
    <w:p>
      <w:pPr>
        <w:tabs>
          <w:tab w:val="left" w:leader="dot" w:pos="8617"/>
        </w:tabs>
        <w:spacing w:before="265"/>
        <w:ind w:left="650" w:right="0" w:firstLine="0"/>
        <w:jc w:val="left"/>
        <w:rPr>
          <w:rFonts w:hint="default" w:ascii="Calibri" w:eastAsia="楷体"/>
          <w:sz w:val="28"/>
          <w:lang w:val="en-US" w:eastAsia="zh-CN"/>
        </w:rPr>
      </w:pPr>
      <w:r>
        <w:rPr>
          <w:rFonts w:hint="eastAsia" w:ascii="楷体" w:eastAsia="楷体"/>
          <w:sz w:val="28"/>
        </w:rPr>
        <w:t>二、20</w:t>
      </w:r>
      <w:r>
        <w:rPr>
          <w:rFonts w:hint="eastAsia" w:ascii="楷体" w:eastAsia="楷体"/>
          <w:sz w:val="28"/>
          <w:lang w:val="en-US" w:eastAsia="zh-CN"/>
        </w:rPr>
        <w:t>21</w:t>
      </w:r>
      <w:r>
        <w:rPr>
          <w:rFonts w:hint="eastAsia" w:ascii="楷体" w:eastAsia="楷体"/>
          <w:sz w:val="28"/>
        </w:rPr>
        <w:t>年收入</w:t>
      </w:r>
      <w:r>
        <w:rPr>
          <w:rFonts w:hint="eastAsia" w:ascii="楷体" w:eastAsia="楷体"/>
          <w:spacing w:val="-3"/>
          <w:sz w:val="28"/>
        </w:rPr>
        <w:t>决</w:t>
      </w:r>
      <w:r>
        <w:rPr>
          <w:rFonts w:hint="eastAsia" w:ascii="楷体" w:eastAsia="楷体"/>
          <w:sz w:val="28"/>
        </w:rPr>
        <w:t>算总表</w:t>
      </w:r>
      <w:r>
        <w:rPr>
          <w:rFonts w:hint="eastAsia" w:ascii="楷体" w:eastAsia="楷体"/>
          <w:sz w:val="28"/>
        </w:rPr>
        <w:tab/>
      </w:r>
      <w:r>
        <w:rPr>
          <w:rFonts w:hint="eastAsia" w:ascii="Calibri"/>
          <w:sz w:val="28"/>
          <w:lang w:val="en-US" w:eastAsia="zh-CN"/>
        </w:rPr>
        <w:t>11</w:t>
      </w:r>
    </w:p>
    <w:p>
      <w:pPr>
        <w:tabs>
          <w:tab w:val="left" w:leader="dot" w:pos="8617"/>
        </w:tabs>
        <w:spacing w:before="266"/>
        <w:ind w:left="650" w:right="0" w:firstLine="0"/>
        <w:jc w:val="left"/>
        <w:rPr>
          <w:rFonts w:hint="default" w:ascii="Calibri" w:eastAsia="楷体"/>
          <w:sz w:val="28"/>
          <w:lang w:val="en-US" w:eastAsia="zh-CN"/>
        </w:rPr>
      </w:pPr>
      <w:r>
        <w:rPr>
          <w:rFonts w:hint="eastAsia" w:ascii="楷体" w:eastAsia="楷体"/>
          <w:sz w:val="28"/>
        </w:rPr>
        <w:t>三、20</w:t>
      </w:r>
      <w:r>
        <w:rPr>
          <w:rFonts w:hint="eastAsia" w:ascii="楷体" w:eastAsia="楷体"/>
          <w:sz w:val="28"/>
          <w:lang w:val="en-US" w:eastAsia="zh-CN"/>
        </w:rPr>
        <w:t>21</w:t>
      </w:r>
      <w:r>
        <w:rPr>
          <w:rFonts w:hint="eastAsia" w:ascii="楷体" w:eastAsia="楷体"/>
          <w:spacing w:val="-71"/>
          <w:sz w:val="28"/>
        </w:rPr>
        <w:t xml:space="preserve"> </w:t>
      </w:r>
      <w:r>
        <w:rPr>
          <w:rFonts w:hint="eastAsia" w:ascii="楷体" w:eastAsia="楷体"/>
          <w:sz w:val="28"/>
        </w:rPr>
        <w:t>年支出</w:t>
      </w:r>
      <w:r>
        <w:rPr>
          <w:rFonts w:hint="eastAsia" w:ascii="楷体" w:eastAsia="楷体"/>
          <w:spacing w:val="-3"/>
          <w:sz w:val="28"/>
        </w:rPr>
        <w:t>决</w:t>
      </w:r>
      <w:r>
        <w:rPr>
          <w:rFonts w:hint="eastAsia" w:ascii="楷体" w:eastAsia="楷体"/>
          <w:sz w:val="28"/>
        </w:rPr>
        <w:t>算总表</w:t>
      </w:r>
      <w:r>
        <w:rPr>
          <w:rFonts w:hint="eastAsia" w:ascii="楷体" w:eastAsia="楷体"/>
          <w:sz w:val="28"/>
        </w:rPr>
        <w:tab/>
      </w:r>
      <w:r>
        <w:rPr>
          <w:rFonts w:hint="eastAsia" w:ascii="Calibri"/>
          <w:sz w:val="28"/>
          <w:lang w:val="en-US" w:eastAsia="zh-CN"/>
        </w:rPr>
        <w:t>11</w:t>
      </w:r>
    </w:p>
    <w:p>
      <w:pPr>
        <w:tabs>
          <w:tab w:val="left" w:leader="dot" w:pos="8617"/>
        </w:tabs>
        <w:spacing w:before="265"/>
        <w:ind w:left="650" w:right="0" w:firstLine="0"/>
        <w:jc w:val="left"/>
        <w:rPr>
          <w:rFonts w:hint="default" w:ascii="Calibri" w:eastAsia="楷体"/>
          <w:sz w:val="28"/>
          <w:lang w:val="en-US" w:eastAsia="zh-CN"/>
        </w:rPr>
      </w:pPr>
      <w:r>
        <w:rPr>
          <w:rFonts w:hint="eastAsia" w:ascii="楷体" w:eastAsia="楷体"/>
          <w:sz w:val="28"/>
        </w:rPr>
        <w:t>四、20</w:t>
      </w:r>
      <w:r>
        <w:rPr>
          <w:rFonts w:hint="eastAsia" w:ascii="楷体" w:eastAsia="楷体"/>
          <w:sz w:val="28"/>
          <w:lang w:val="en-US" w:eastAsia="zh-CN"/>
        </w:rPr>
        <w:t>21</w:t>
      </w:r>
      <w:r>
        <w:rPr>
          <w:rFonts w:hint="eastAsia" w:ascii="楷体" w:eastAsia="楷体"/>
          <w:sz w:val="28"/>
        </w:rPr>
        <w:t>年财政</w:t>
      </w:r>
      <w:r>
        <w:rPr>
          <w:rFonts w:hint="eastAsia" w:ascii="楷体" w:eastAsia="楷体"/>
          <w:spacing w:val="-3"/>
          <w:sz w:val="28"/>
        </w:rPr>
        <w:t>拨</w:t>
      </w:r>
      <w:r>
        <w:rPr>
          <w:rFonts w:hint="eastAsia" w:ascii="楷体" w:eastAsia="楷体"/>
          <w:sz w:val="28"/>
        </w:rPr>
        <w:t>款收入</w:t>
      </w:r>
      <w:r>
        <w:rPr>
          <w:rFonts w:hint="eastAsia" w:ascii="楷体" w:eastAsia="楷体"/>
          <w:spacing w:val="-3"/>
          <w:sz w:val="28"/>
        </w:rPr>
        <w:t>支</w:t>
      </w:r>
      <w:r>
        <w:rPr>
          <w:rFonts w:hint="eastAsia" w:ascii="楷体" w:eastAsia="楷体"/>
          <w:sz w:val="28"/>
        </w:rPr>
        <w:t>出决</w:t>
      </w:r>
      <w:r>
        <w:rPr>
          <w:rFonts w:hint="eastAsia" w:ascii="楷体" w:eastAsia="楷体"/>
          <w:spacing w:val="-3"/>
          <w:sz w:val="28"/>
        </w:rPr>
        <w:t>算总表</w:t>
      </w:r>
      <w:r>
        <w:rPr>
          <w:rFonts w:hint="eastAsia" w:ascii="楷体" w:eastAsia="楷体"/>
          <w:spacing w:val="-3"/>
          <w:sz w:val="28"/>
        </w:rPr>
        <w:tab/>
      </w:r>
      <w:r>
        <w:rPr>
          <w:rFonts w:hint="eastAsia" w:ascii="Calibri"/>
          <w:sz w:val="28"/>
          <w:lang w:val="en-US" w:eastAsia="zh-CN"/>
        </w:rPr>
        <w:t>11</w:t>
      </w:r>
    </w:p>
    <w:p>
      <w:pPr>
        <w:tabs>
          <w:tab w:val="left" w:leader="dot" w:pos="8617"/>
        </w:tabs>
        <w:spacing w:before="265"/>
        <w:ind w:left="650" w:right="0" w:firstLine="0"/>
        <w:jc w:val="left"/>
        <w:rPr>
          <w:rFonts w:hint="default" w:ascii="Calibri" w:eastAsia="楷体"/>
          <w:sz w:val="28"/>
          <w:lang w:val="en-US" w:eastAsia="zh-CN"/>
        </w:rPr>
      </w:pPr>
      <w:r>
        <w:rPr>
          <w:rFonts w:hint="eastAsia" w:ascii="楷体" w:eastAsia="楷体"/>
          <w:sz w:val="28"/>
        </w:rPr>
        <w:t>五、20</w:t>
      </w:r>
      <w:r>
        <w:rPr>
          <w:rFonts w:hint="eastAsia" w:ascii="楷体" w:eastAsia="楷体"/>
          <w:sz w:val="28"/>
          <w:lang w:val="en-US" w:eastAsia="zh-CN"/>
        </w:rPr>
        <w:t>21</w:t>
      </w:r>
      <w:r>
        <w:rPr>
          <w:rFonts w:hint="eastAsia" w:ascii="楷体" w:eastAsia="楷体"/>
          <w:sz w:val="28"/>
        </w:rPr>
        <w:t>年一般</w:t>
      </w:r>
      <w:r>
        <w:rPr>
          <w:rFonts w:hint="eastAsia" w:ascii="楷体" w:eastAsia="楷体"/>
          <w:spacing w:val="-3"/>
          <w:sz w:val="28"/>
        </w:rPr>
        <w:t>公</w:t>
      </w:r>
      <w:r>
        <w:rPr>
          <w:rFonts w:hint="eastAsia" w:ascii="楷体" w:eastAsia="楷体"/>
          <w:sz w:val="28"/>
        </w:rPr>
        <w:t>共预算</w:t>
      </w:r>
      <w:r>
        <w:rPr>
          <w:rFonts w:hint="eastAsia" w:ascii="楷体" w:eastAsia="楷体"/>
          <w:spacing w:val="-3"/>
          <w:sz w:val="28"/>
        </w:rPr>
        <w:t>财</w:t>
      </w:r>
      <w:r>
        <w:rPr>
          <w:rFonts w:hint="eastAsia" w:ascii="楷体" w:eastAsia="楷体"/>
          <w:sz w:val="28"/>
        </w:rPr>
        <w:t>政拨</w:t>
      </w:r>
      <w:r>
        <w:rPr>
          <w:rFonts w:hint="eastAsia" w:ascii="楷体" w:eastAsia="楷体"/>
          <w:spacing w:val="-3"/>
          <w:sz w:val="28"/>
        </w:rPr>
        <w:t>款支</w:t>
      </w:r>
      <w:r>
        <w:rPr>
          <w:rFonts w:hint="eastAsia" w:ascii="楷体" w:eastAsia="楷体"/>
          <w:sz w:val="28"/>
        </w:rPr>
        <w:t>出决算</w:t>
      </w:r>
      <w:r>
        <w:rPr>
          <w:rFonts w:hint="eastAsia" w:ascii="楷体" w:eastAsia="楷体"/>
          <w:spacing w:val="-3"/>
          <w:sz w:val="28"/>
        </w:rPr>
        <w:t>表</w:t>
      </w:r>
      <w:r>
        <w:rPr>
          <w:rFonts w:hint="eastAsia" w:ascii="楷体" w:eastAsia="楷体"/>
          <w:sz w:val="28"/>
        </w:rPr>
        <w:t>（一）</w:t>
      </w:r>
      <w:r>
        <w:rPr>
          <w:rFonts w:hint="eastAsia" w:ascii="楷体" w:eastAsia="楷体"/>
          <w:sz w:val="28"/>
        </w:rPr>
        <w:tab/>
      </w:r>
      <w:r>
        <w:rPr>
          <w:rFonts w:hint="eastAsia" w:ascii="Calibri"/>
          <w:sz w:val="28"/>
          <w:lang w:val="en-US" w:eastAsia="zh-CN"/>
        </w:rPr>
        <w:t>11</w:t>
      </w:r>
    </w:p>
    <w:p>
      <w:pPr>
        <w:tabs>
          <w:tab w:val="left" w:leader="dot" w:pos="8617"/>
        </w:tabs>
        <w:spacing w:before="266"/>
        <w:ind w:left="650" w:right="0" w:firstLine="0"/>
        <w:jc w:val="left"/>
        <w:rPr>
          <w:rFonts w:hint="default" w:ascii="Calibri" w:eastAsia="楷体"/>
          <w:sz w:val="28"/>
          <w:lang w:val="en-US" w:eastAsia="zh-CN"/>
        </w:rPr>
      </w:pPr>
      <w:r>
        <w:rPr>
          <w:rFonts w:hint="eastAsia" w:ascii="楷体" w:eastAsia="楷体"/>
          <w:sz w:val="28"/>
        </w:rPr>
        <w:t>六、20</w:t>
      </w:r>
      <w:r>
        <w:rPr>
          <w:rFonts w:hint="eastAsia" w:ascii="楷体" w:eastAsia="楷体"/>
          <w:sz w:val="28"/>
          <w:lang w:val="en-US" w:eastAsia="zh-CN"/>
        </w:rPr>
        <w:t>21</w:t>
      </w:r>
      <w:r>
        <w:rPr>
          <w:rFonts w:hint="eastAsia" w:ascii="楷体" w:eastAsia="楷体"/>
          <w:sz w:val="28"/>
        </w:rPr>
        <w:t>年一般</w:t>
      </w:r>
      <w:r>
        <w:rPr>
          <w:rFonts w:hint="eastAsia" w:ascii="楷体" w:eastAsia="楷体"/>
          <w:spacing w:val="-3"/>
          <w:sz w:val="28"/>
        </w:rPr>
        <w:t>公</w:t>
      </w:r>
      <w:r>
        <w:rPr>
          <w:rFonts w:hint="eastAsia" w:ascii="楷体" w:eastAsia="楷体"/>
          <w:sz w:val="28"/>
        </w:rPr>
        <w:t>共预算</w:t>
      </w:r>
      <w:r>
        <w:rPr>
          <w:rFonts w:hint="eastAsia" w:ascii="楷体" w:eastAsia="楷体"/>
          <w:spacing w:val="-3"/>
          <w:sz w:val="28"/>
        </w:rPr>
        <w:t>财</w:t>
      </w:r>
      <w:r>
        <w:rPr>
          <w:rFonts w:hint="eastAsia" w:ascii="楷体" w:eastAsia="楷体"/>
          <w:sz w:val="28"/>
        </w:rPr>
        <w:t>政拨</w:t>
      </w:r>
      <w:r>
        <w:rPr>
          <w:rFonts w:hint="eastAsia" w:ascii="楷体" w:eastAsia="楷体"/>
          <w:spacing w:val="-3"/>
          <w:sz w:val="28"/>
        </w:rPr>
        <w:t>款支</w:t>
      </w:r>
      <w:r>
        <w:rPr>
          <w:rFonts w:hint="eastAsia" w:ascii="楷体" w:eastAsia="楷体"/>
          <w:sz w:val="28"/>
        </w:rPr>
        <w:t>出决算</w:t>
      </w:r>
      <w:r>
        <w:rPr>
          <w:rFonts w:hint="eastAsia" w:ascii="楷体" w:eastAsia="楷体"/>
          <w:spacing w:val="-3"/>
          <w:sz w:val="28"/>
        </w:rPr>
        <w:t>表</w:t>
      </w:r>
      <w:r>
        <w:rPr>
          <w:rFonts w:hint="eastAsia" w:ascii="楷体" w:eastAsia="楷体"/>
          <w:sz w:val="28"/>
        </w:rPr>
        <w:t>（二）</w:t>
      </w:r>
      <w:r>
        <w:rPr>
          <w:rFonts w:hint="eastAsia" w:ascii="楷体" w:eastAsia="楷体"/>
          <w:sz w:val="28"/>
        </w:rPr>
        <w:tab/>
      </w:r>
      <w:r>
        <w:rPr>
          <w:rFonts w:hint="eastAsia" w:ascii="Calibri"/>
          <w:sz w:val="28"/>
          <w:lang w:val="en-US" w:eastAsia="zh-CN"/>
        </w:rPr>
        <w:t>11</w:t>
      </w:r>
    </w:p>
    <w:p>
      <w:pPr>
        <w:tabs>
          <w:tab w:val="left" w:leader="dot" w:pos="8617"/>
        </w:tabs>
        <w:spacing w:before="265"/>
        <w:ind w:left="650" w:right="0" w:firstLine="0"/>
        <w:jc w:val="left"/>
        <w:rPr>
          <w:rFonts w:hint="default" w:ascii="Calibri" w:hAnsi="Calibri"/>
          <w:sz w:val="28"/>
          <w:lang w:val="en-US" w:eastAsia="zh-CN"/>
        </w:rPr>
      </w:pPr>
      <w:r>
        <w:rPr>
          <w:rFonts w:hint="eastAsia" w:ascii="楷体" w:hAnsi="楷体" w:eastAsia="楷体"/>
          <w:sz w:val="28"/>
        </w:rPr>
        <w:t>七、20</w:t>
      </w:r>
      <w:r>
        <w:rPr>
          <w:rFonts w:hint="eastAsia" w:ascii="楷体" w:hAnsi="楷体" w:eastAsia="楷体"/>
          <w:sz w:val="28"/>
          <w:lang w:val="en-US" w:eastAsia="zh-CN"/>
        </w:rPr>
        <w:t>21</w:t>
      </w:r>
      <w:r>
        <w:rPr>
          <w:rFonts w:hint="eastAsia" w:ascii="楷体" w:hAnsi="楷体" w:eastAsia="楷体"/>
          <w:sz w:val="28"/>
        </w:rPr>
        <w:t>年一般</w:t>
      </w:r>
      <w:r>
        <w:rPr>
          <w:rFonts w:hint="eastAsia" w:ascii="楷体" w:hAnsi="楷体" w:eastAsia="楷体"/>
          <w:spacing w:val="-3"/>
          <w:sz w:val="28"/>
        </w:rPr>
        <w:t>公</w:t>
      </w:r>
      <w:r>
        <w:rPr>
          <w:rFonts w:hint="eastAsia" w:ascii="楷体" w:hAnsi="楷体" w:eastAsia="楷体"/>
          <w:sz w:val="28"/>
        </w:rPr>
        <w:t>共预算</w:t>
      </w:r>
      <w:r>
        <w:rPr>
          <w:rFonts w:hint="eastAsia" w:ascii="楷体" w:hAnsi="楷体" w:eastAsia="楷体"/>
          <w:spacing w:val="-3"/>
          <w:sz w:val="28"/>
        </w:rPr>
        <w:t>财</w:t>
      </w:r>
      <w:r>
        <w:rPr>
          <w:rFonts w:hint="eastAsia" w:ascii="楷体" w:hAnsi="楷体" w:eastAsia="楷体"/>
          <w:sz w:val="28"/>
        </w:rPr>
        <w:t>政拨</w:t>
      </w:r>
      <w:r>
        <w:rPr>
          <w:rFonts w:hint="eastAsia" w:ascii="楷体" w:hAnsi="楷体" w:eastAsia="楷体"/>
          <w:spacing w:val="-3"/>
          <w:sz w:val="28"/>
        </w:rPr>
        <w:t>款“</w:t>
      </w:r>
      <w:r>
        <w:rPr>
          <w:rFonts w:hint="eastAsia" w:ascii="楷体" w:hAnsi="楷体" w:eastAsia="楷体"/>
          <w:sz w:val="28"/>
        </w:rPr>
        <w:t>三公”</w:t>
      </w:r>
      <w:r>
        <w:rPr>
          <w:rFonts w:hint="eastAsia" w:ascii="楷体" w:hAnsi="楷体" w:eastAsia="楷体"/>
          <w:spacing w:val="-3"/>
          <w:sz w:val="28"/>
        </w:rPr>
        <w:t>经</w:t>
      </w:r>
      <w:r>
        <w:rPr>
          <w:rFonts w:hint="eastAsia" w:ascii="楷体" w:hAnsi="楷体" w:eastAsia="楷体"/>
          <w:sz w:val="28"/>
        </w:rPr>
        <w:t>费支</w:t>
      </w:r>
      <w:r>
        <w:rPr>
          <w:rFonts w:hint="eastAsia" w:ascii="楷体" w:hAnsi="楷体" w:eastAsia="楷体"/>
          <w:spacing w:val="-3"/>
          <w:sz w:val="28"/>
        </w:rPr>
        <w:t>出决</w:t>
      </w:r>
      <w:r>
        <w:rPr>
          <w:rFonts w:hint="eastAsia" w:ascii="楷体" w:hAnsi="楷体" w:eastAsia="楷体"/>
          <w:sz w:val="28"/>
        </w:rPr>
        <w:t>算表</w:t>
      </w:r>
      <w:r>
        <w:rPr>
          <w:rFonts w:hint="eastAsia" w:ascii="楷体" w:hAnsi="楷体" w:eastAsia="楷体"/>
          <w:sz w:val="28"/>
        </w:rPr>
        <w:tab/>
      </w:r>
      <w:r>
        <w:rPr>
          <w:rFonts w:hint="eastAsia" w:ascii="Calibri" w:hAnsi="Calibri"/>
          <w:sz w:val="28"/>
          <w:lang w:val="en-US" w:eastAsia="zh-CN"/>
        </w:rPr>
        <w:t>11</w:t>
      </w:r>
    </w:p>
    <w:p>
      <w:pPr>
        <w:tabs>
          <w:tab w:val="left" w:leader="dot" w:pos="8617"/>
        </w:tabs>
        <w:spacing w:before="265"/>
        <w:ind w:left="650" w:right="0" w:firstLine="0"/>
        <w:jc w:val="left"/>
        <w:rPr>
          <w:rFonts w:hint="eastAsia" w:ascii="Calibri"/>
          <w:sz w:val="28"/>
          <w:lang w:val="en-US" w:eastAsia="zh-CN"/>
        </w:rPr>
      </w:pPr>
      <w:r>
        <w:rPr>
          <w:rFonts w:hint="eastAsia" w:ascii="楷体" w:eastAsia="楷体"/>
          <w:sz w:val="28"/>
        </w:rPr>
        <w:t>八、20</w:t>
      </w:r>
      <w:r>
        <w:rPr>
          <w:rFonts w:hint="eastAsia" w:ascii="楷体" w:eastAsia="楷体"/>
          <w:sz w:val="28"/>
          <w:lang w:val="en-US" w:eastAsia="zh-CN"/>
        </w:rPr>
        <w:t>21</w:t>
      </w:r>
      <w:r>
        <w:rPr>
          <w:rFonts w:hint="eastAsia" w:ascii="楷体" w:eastAsia="楷体"/>
          <w:sz w:val="28"/>
        </w:rPr>
        <w:t>年政府</w:t>
      </w:r>
      <w:r>
        <w:rPr>
          <w:rFonts w:hint="eastAsia" w:ascii="楷体" w:eastAsia="楷体"/>
          <w:spacing w:val="-3"/>
          <w:sz w:val="28"/>
        </w:rPr>
        <w:t>性</w:t>
      </w:r>
      <w:r>
        <w:rPr>
          <w:rFonts w:hint="eastAsia" w:ascii="楷体" w:eastAsia="楷体"/>
          <w:sz w:val="28"/>
        </w:rPr>
        <w:t>基金预</w:t>
      </w:r>
      <w:r>
        <w:rPr>
          <w:rFonts w:hint="eastAsia" w:ascii="楷体" w:eastAsia="楷体"/>
          <w:spacing w:val="-3"/>
          <w:sz w:val="28"/>
        </w:rPr>
        <w:t>算</w:t>
      </w:r>
      <w:r>
        <w:rPr>
          <w:rFonts w:hint="eastAsia" w:ascii="楷体" w:eastAsia="楷体"/>
          <w:sz w:val="28"/>
        </w:rPr>
        <w:t>财政</w:t>
      </w:r>
      <w:r>
        <w:rPr>
          <w:rFonts w:hint="eastAsia" w:ascii="楷体" w:eastAsia="楷体"/>
          <w:spacing w:val="-3"/>
          <w:sz w:val="28"/>
        </w:rPr>
        <w:t>拨款</w:t>
      </w:r>
      <w:r>
        <w:rPr>
          <w:rFonts w:hint="eastAsia" w:ascii="楷体" w:eastAsia="楷体"/>
          <w:sz w:val="28"/>
        </w:rPr>
        <w:t>收入支</w:t>
      </w:r>
      <w:r>
        <w:rPr>
          <w:rFonts w:hint="eastAsia" w:ascii="楷体" w:eastAsia="楷体"/>
          <w:spacing w:val="-3"/>
          <w:sz w:val="28"/>
        </w:rPr>
        <w:t>出</w:t>
      </w:r>
      <w:r>
        <w:rPr>
          <w:rFonts w:hint="eastAsia" w:ascii="楷体" w:eastAsia="楷体"/>
          <w:sz w:val="28"/>
        </w:rPr>
        <w:t>决算表</w:t>
      </w:r>
      <w:r>
        <w:rPr>
          <w:rFonts w:hint="eastAsia" w:ascii="楷体" w:eastAsia="楷体"/>
          <w:sz w:val="28"/>
        </w:rPr>
        <w:tab/>
      </w:r>
      <w:r>
        <w:rPr>
          <w:rFonts w:hint="eastAsia" w:ascii="Calibri"/>
          <w:sz w:val="28"/>
          <w:lang w:val="en-US" w:eastAsia="zh-CN"/>
        </w:rPr>
        <w:t>11</w:t>
      </w:r>
    </w:p>
    <w:p>
      <w:pPr>
        <w:tabs>
          <w:tab w:val="left" w:leader="dot" w:pos="8617"/>
        </w:tabs>
        <w:spacing w:before="265"/>
        <w:ind w:left="650" w:right="0" w:firstLine="0"/>
        <w:jc w:val="left"/>
        <w:rPr>
          <w:rFonts w:hint="default" w:ascii="Calibri"/>
          <w:sz w:val="28"/>
          <w:lang w:val="en-US" w:eastAsia="zh-CN"/>
        </w:rPr>
      </w:pPr>
      <w:r>
        <w:rPr>
          <w:rFonts w:hint="eastAsia" w:ascii="楷体" w:eastAsia="楷体"/>
          <w:sz w:val="28"/>
        </w:rPr>
        <w:t>九、20</w:t>
      </w:r>
      <w:r>
        <w:rPr>
          <w:rFonts w:hint="eastAsia" w:ascii="楷体" w:eastAsia="楷体"/>
          <w:sz w:val="28"/>
          <w:lang w:val="en-US" w:eastAsia="zh-CN"/>
        </w:rPr>
        <w:t>21</w:t>
      </w:r>
      <w:r>
        <w:rPr>
          <w:rFonts w:hint="eastAsia" w:ascii="楷体" w:eastAsia="楷体"/>
          <w:sz w:val="28"/>
        </w:rPr>
        <w:t>年</w:t>
      </w:r>
      <w:r>
        <w:rPr>
          <w:rFonts w:hint="eastAsia" w:ascii="楷体" w:eastAsia="楷体"/>
          <w:sz w:val="28"/>
          <w:lang w:eastAsia="zh-CN"/>
        </w:rPr>
        <w:t>国有资本经营预算财政拨款支出决算</w:t>
      </w:r>
      <w:r>
        <w:rPr>
          <w:rFonts w:hint="eastAsia" w:ascii="楷体" w:eastAsia="楷体"/>
          <w:sz w:val="28"/>
        </w:rPr>
        <w:t>表</w:t>
      </w:r>
      <w:r>
        <w:rPr>
          <w:rFonts w:hint="eastAsia" w:ascii="楷体" w:eastAsia="楷体"/>
          <w:sz w:val="28"/>
        </w:rPr>
        <w:tab/>
      </w:r>
      <w:r>
        <w:rPr>
          <w:rFonts w:hint="eastAsia" w:ascii="Calibri"/>
          <w:sz w:val="28"/>
          <w:lang w:val="en-US" w:eastAsia="zh-CN"/>
        </w:rPr>
        <w:t>11</w:t>
      </w:r>
    </w:p>
    <w:p>
      <w:pPr>
        <w:tabs>
          <w:tab w:val="left" w:leader="dot" w:pos="8617"/>
        </w:tabs>
        <w:spacing w:before="265"/>
        <w:ind w:left="650" w:right="0" w:firstLine="0"/>
        <w:jc w:val="left"/>
        <w:rPr>
          <w:rFonts w:hint="default" w:ascii="Calibri" w:eastAsia="楷体"/>
          <w:sz w:val="28"/>
          <w:lang w:val="en-US" w:eastAsia="zh-CN"/>
        </w:rPr>
      </w:pPr>
      <w:r>
        <w:rPr>
          <w:rFonts w:hint="eastAsia" w:ascii="楷体" w:eastAsia="楷体"/>
          <w:sz w:val="28"/>
          <w:lang w:eastAsia="zh-CN"/>
        </w:rPr>
        <w:t>十</w:t>
      </w:r>
      <w:r>
        <w:rPr>
          <w:rFonts w:hint="eastAsia" w:ascii="楷体" w:eastAsia="楷体"/>
          <w:sz w:val="28"/>
        </w:rPr>
        <w:t>、20</w:t>
      </w:r>
      <w:r>
        <w:rPr>
          <w:rFonts w:hint="eastAsia" w:ascii="楷体" w:eastAsia="楷体"/>
          <w:sz w:val="28"/>
          <w:lang w:val="en-US" w:eastAsia="zh-CN"/>
        </w:rPr>
        <w:t>21</w:t>
      </w:r>
      <w:r>
        <w:rPr>
          <w:rFonts w:hint="eastAsia" w:ascii="楷体" w:eastAsia="楷体"/>
          <w:sz w:val="28"/>
        </w:rPr>
        <w:t>年部门</w:t>
      </w:r>
      <w:r>
        <w:rPr>
          <w:rFonts w:hint="eastAsia" w:ascii="楷体" w:eastAsia="楷体"/>
          <w:spacing w:val="-3"/>
          <w:sz w:val="28"/>
        </w:rPr>
        <w:t>决</w:t>
      </w:r>
      <w:r>
        <w:rPr>
          <w:rFonts w:hint="eastAsia" w:ascii="楷体" w:eastAsia="楷体"/>
          <w:sz w:val="28"/>
        </w:rPr>
        <w:t>算公开</w:t>
      </w:r>
      <w:r>
        <w:rPr>
          <w:rFonts w:hint="eastAsia" w:ascii="楷体" w:eastAsia="楷体"/>
          <w:spacing w:val="-3"/>
          <w:sz w:val="28"/>
        </w:rPr>
        <w:t>相</w:t>
      </w:r>
      <w:r>
        <w:rPr>
          <w:rFonts w:hint="eastAsia" w:ascii="楷体" w:eastAsia="楷体"/>
          <w:sz w:val="28"/>
        </w:rPr>
        <w:t>关信</w:t>
      </w:r>
      <w:r>
        <w:rPr>
          <w:rFonts w:hint="eastAsia" w:ascii="楷体" w:eastAsia="楷体"/>
          <w:spacing w:val="-3"/>
          <w:sz w:val="28"/>
        </w:rPr>
        <w:t>息统</w:t>
      </w:r>
      <w:r>
        <w:rPr>
          <w:rFonts w:hint="eastAsia" w:ascii="楷体" w:eastAsia="楷体"/>
          <w:sz w:val="28"/>
        </w:rPr>
        <w:t>计表</w:t>
      </w:r>
      <w:r>
        <w:rPr>
          <w:rFonts w:hint="eastAsia" w:ascii="楷体" w:eastAsia="楷体"/>
          <w:sz w:val="28"/>
        </w:rPr>
        <w:tab/>
      </w:r>
      <w:r>
        <w:rPr>
          <w:rFonts w:hint="eastAsia" w:ascii="Calibri"/>
          <w:sz w:val="28"/>
          <w:lang w:val="en-US" w:eastAsia="zh-CN"/>
        </w:rPr>
        <w:t>11</w:t>
      </w:r>
    </w:p>
    <w:p>
      <w:pPr>
        <w:tabs>
          <w:tab w:val="left" w:pos="1540"/>
          <w:tab w:val="left" w:leader="dot" w:pos="8387"/>
        </w:tabs>
        <w:spacing w:before="266"/>
        <w:ind w:left="0" w:right="34" w:firstLine="0"/>
        <w:jc w:val="center"/>
        <w:rPr>
          <w:rFonts w:hint="eastAsia" w:ascii="Calibri" w:eastAsia="宋体"/>
          <w:sz w:val="28"/>
          <w:lang w:val="en-US" w:eastAsia="zh-CN"/>
        </w:rPr>
      </w:pPr>
      <w:r>
        <w:fldChar w:fldCharType="begin"/>
      </w:r>
      <w:r>
        <w:instrText xml:space="preserve"> HYPERLINK \l "_bookmark6" </w:instrText>
      </w:r>
      <w:r>
        <w:fldChar w:fldCharType="separate"/>
      </w:r>
      <w:r>
        <w:rPr>
          <w:rFonts w:hint="eastAsia" w:ascii="黑体" w:eastAsia="黑体"/>
          <w:sz w:val="28"/>
        </w:rPr>
        <w:t>第三部分</w:t>
      </w:r>
      <w:r>
        <w:rPr>
          <w:rFonts w:hint="eastAsia" w:ascii="黑体" w:eastAsia="黑体"/>
          <w:sz w:val="28"/>
        </w:rPr>
        <w:tab/>
      </w:r>
      <w:r>
        <w:rPr>
          <w:rFonts w:hint="eastAsia" w:ascii="黑体" w:eastAsia="黑体"/>
          <w:sz w:val="28"/>
        </w:rPr>
        <w:t>20</w:t>
      </w:r>
      <w:r>
        <w:rPr>
          <w:rFonts w:hint="eastAsia" w:ascii="黑体" w:eastAsia="黑体"/>
          <w:sz w:val="28"/>
          <w:lang w:val="en-US" w:eastAsia="zh-CN"/>
        </w:rPr>
        <w:t>21</w:t>
      </w:r>
      <w:r>
        <w:rPr>
          <w:rFonts w:hint="eastAsia" w:ascii="黑体" w:eastAsia="黑体"/>
          <w:sz w:val="28"/>
        </w:rPr>
        <w:t>年度部门</w:t>
      </w:r>
      <w:r>
        <w:rPr>
          <w:rFonts w:hint="eastAsia" w:ascii="黑体" w:eastAsia="黑体"/>
          <w:spacing w:val="-3"/>
          <w:sz w:val="28"/>
        </w:rPr>
        <w:t>决</w:t>
      </w:r>
      <w:r>
        <w:rPr>
          <w:rFonts w:hint="eastAsia" w:ascii="黑体" w:eastAsia="黑体"/>
          <w:sz w:val="28"/>
        </w:rPr>
        <w:t>算情</w:t>
      </w:r>
      <w:r>
        <w:rPr>
          <w:rFonts w:hint="eastAsia" w:ascii="黑体" w:eastAsia="黑体"/>
          <w:spacing w:val="-3"/>
          <w:sz w:val="28"/>
        </w:rPr>
        <w:t>况说</w:t>
      </w:r>
      <w:r>
        <w:rPr>
          <w:rFonts w:hint="eastAsia" w:ascii="黑体" w:eastAsia="黑体"/>
          <w:sz w:val="28"/>
        </w:rPr>
        <w:t>明</w:t>
      </w:r>
      <w:r>
        <w:rPr>
          <w:rFonts w:hint="eastAsia" w:ascii="黑体" w:eastAsia="黑体"/>
          <w:sz w:val="28"/>
        </w:rPr>
        <w:tab/>
      </w:r>
      <w:r>
        <w:rPr>
          <w:rFonts w:hint="eastAsia" w:ascii="Calibri"/>
          <w:sz w:val="28"/>
          <w:lang w:val="en-US" w:eastAsia="zh-CN"/>
        </w:rPr>
        <w:t>5</w:t>
      </w:r>
      <w:r>
        <w:rPr>
          <w:rFonts w:ascii="Calibri" w:eastAsia="Calibri"/>
          <w:sz w:val="28"/>
        </w:rPr>
        <w:fldChar w:fldCharType="end"/>
      </w:r>
    </w:p>
    <w:p>
      <w:pPr>
        <w:keepNext w:val="0"/>
        <w:keepLines w:val="0"/>
        <w:pageBreakBefore w:val="0"/>
        <w:widowControl w:val="0"/>
        <w:tabs>
          <w:tab w:val="left" w:leader="dot" w:pos="8617"/>
        </w:tabs>
        <w:kinsoku/>
        <w:wordWrap/>
        <w:overflowPunct/>
        <w:topLinePunct w:val="0"/>
        <w:autoSpaceDE w:val="0"/>
        <w:autoSpaceDN w:val="0"/>
        <w:bidi w:val="0"/>
        <w:adjustRightInd/>
        <w:snapToGrid/>
        <w:spacing w:before="265"/>
        <w:ind w:left="652" w:right="0" w:firstLine="0"/>
        <w:jc w:val="left"/>
        <w:textAlignment w:val="auto"/>
        <w:rPr>
          <w:rFonts w:hint="eastAsia" w:ascii="Calibri" w:eastAsia="宋体"/>
          <w:sz w:val="28"/>
          <w:lang w:val="en-US" w:eastAsia="zh-CN"/>
        </w:rPr>
      </w:pPr>
      <w:r>
        <w:fldChar w:fldCharType="begin"/>
      </w:r>
      <w:r>
        <w:instrText xml:space="preserve"> HYPERLINK \l "_bookmark7" </w:instrText>
      </w:r>
      <w:r>
        <w:fldChar w:fldCharType="separate"/>
      </w:r>
      <w:r>
        <w:rPr>
          <w:rFonts w:hint="eastAsia" w:ascii="楷体" w:eastAsia="楷体"/>
          <w:sz w:val="28"/>
        </w:rPr>
        <w:t>一、收</w:t>
      </w:r>
      <w:r>
        <w:rPr>
          <w:rFonts w:hint="eastAsia" w:ascii="楷体" w:eastAsia="楷体"/>
          <w:spacing w:val="-3"/>
          <w:sz w:val="28"/>
        </w:rPr>
        <w:t>入</w:t>
      </w:r>
      <w:r>
        <w:rPr>
          <w:rFonts w:hint="eastAsia" w:ascii="楷体" w:eastAsia="楷体"/>
          <w:sz w:val="28"/>
        </w:rPr>
        <w:t>支出</w:t>
      </w:r>
      <w:r>
        <w:rPr>
          <w:rFonts w:hint="eastAsia" w:ascii="楷体" w:eastAsia="楷体"/>
          <w:spacing w:val="-3"/>
          <w:sz w:val="28"/>
        </w:rPr>
        <w:t>决算</w:t>
      </w:r>
      <w:r>
        <w:rPr>
          <w:rFonts w:hint="eastAsia" w:ascii="楷体" w:eastAsia="楷体"/>
          <w:sz w:val="28"/>
        </w:rPr>
        <w:t>总体情</w:t>
      </w:r>
      <w:r>
        <w:rPr>
          <w:rFonts w:hint="eastAsia" w:ascii="楷体" w:eastAsia="楷体"/>
          <w:spacing w:val="-3"/>
          <w:sz w:val="28"/>
        </w:rPr>
        <w:t>况</w:t>
      </w:r>
      <w:r>
        <w:rPr>
          <w:rFonts w:hint="eastAsia" w:ascii="楷体" w:eastAsia="楷体"/>
          <w:sz w:val="28"/>
        </w:rPr>
        <w:t>说明</w:t>
      </w:r>
      <w:r>
        <w:rPr>
          <w:rFonts w:hint="eastAsia" w:ascii="楷体" w:eastAsia="楷体"/>
          <w:sz w:val="28"/>
        </w:rPr>
        <w:tab/>
      </w:r>
      <w:r>
        <w:rPr>
          <w:rFonts w:ascii="Calibri" w:eastAsia="Calibri"/>
          <w:sz w:val="28"/>
        </w:rPr>
        <w:fldChar w:fldCharType="end"/>
      </w:r>
      <w:r>
        <w:rPr>
          <w:rFonts w:hint="eastAsia" w:ascii="Calibri"/>
          <w:sz w:val="28"/>
          <w:lang w:val="en-US" w:eastAsia="zh-CN"/>
        </w:rPr>
        <w:t>5</w:t>
      </w:r>
    </w:p>
    <w:p>
      <w:pPr>
        <w:keepNext w:val="0"/>
        <w:keepLines w:val="0"/>
        <w:pageBreakBefore w:val="0"/>
        <w:widowControl w:val="0"/>
        <w:tabs>
          <w:tab w:val="left" w:leader="dot" w:pos="8617"/>
        </w:tabs>
        <w:kinsoku/>
        <w:wordWrap/>
        <w:overflowPunct/>
        <w:topLinePunct w:val="0"/>
        <w:autoSpaceDE w:val="0"/>
        <w:autoSpaceDN w:val="0"/>
        <w:bidi w:val="0"/>
        <w:adjustRightInd/>
        <w:snapToGrid/>
        <w:spacing w:before="266"/>
        <w:ind w:left="652" w:right="0" w:firstLine="0"/>
        <w:jc w:val="left"/>
        <w:textAlignment w:val="auto"/>
        <w:rPr>
          <w:rFonts w:hint="default" w:ascii="Calibri" w:eastAsia="楷体"/>
          <w:sz w:val="28"/>
          <w:lang w:val="en-US" w:eastAsia="zh-CN"/>
        </w:rPr>
      </w:pPr>
      <w:r>
        <w:rPr>
          <w:rFonts w:hint="eastAsia" w:ascii="楷体" w:eastAsia="楷体"/>
          <w:sz w:val="28"/>
        </w:rPr>
        <w:t>二、收</w:t>
      </w:r>
      <w:r>
        <w:rPr>
          <w:rFonts w:hint="eastAsia" w:ascii="楷体" w:eastAsia="楷体"/>
          <w:spacing w:val="-3"/>
          <w:sz w:val="28"/>
        </w:rPr>
        <w:t>入</w:t>
      </w:r>
      <w:r>
        <w:rPr>
          <w:rFonts w:hint="eastAsia" w:ascii="楷体" w:eastAsia="楷体"/>
          <w:sz w:val="28"/>
        </w:rPr>
        <w:t>决算</w:t>
      </w:r>
      <w:r>
        <w:rPr>
          <w:rFonts w:hint="eastAsia" w:ascii="楷体" w:eastAsia="楷体"/>
          <w:spacing w:val="-3"/>
          <w:sz w:val="28"/>
        </w:rPr>
        <w:t>情况</w:t>
      </w:r>
      <w:r>
        <w:rPr>
          <w:rFonts w:hint="eastAsia" w:ascii="楷体" w:eastAsia="楷体"/>
          <w:sz w:val="28"/>
        </w:rPr>
        <w:t>说明</w:t>
      </w:r>
      <w:r>
        <w:rPr>
          <w:rFonts w:hint="eastAsia" w:ascii="楷体" w:eastAsia="楷体"/>
          <w:sz w:val="28"/>
        </w:rPr>
        <w:tab/>
      </w:r>
      <w:r>
        <w:rPr>
          <w:rFonts w:hint="eastAsia" w:ascii="Calibri"/>
          <w:sz w:val="28"/>
          <w:lang w:val="en-US" w:eastAsia="zh-CN"/>
        </w:rPr>
        <w:t>5</w:t>
      </w:r>
    </w:p>
    <w:p>
      <w:pPr>
        <w:tabs>
          <w:tab w:val="left" w:leader="dot" w:pos="8617"/>
        </w:tabs>
        <w:spacing w:before="265"/>
        <w:ind w:left="650" w:right="0" w:firstLine="0"/>
        <w:jc w:val="left"/>
        <w:rPr>
          <w:rFonts w:hint="eastAsia" w:ascii="Calibri"/>
          <w:sz w:val="28"/>
          <w:lang w:val="en-US" w:eastAsia="zh-CN"/>
        </w:rPr>
      </w:pPr>
      <w:r>
        <w:rPr>
          <w:rFonts w:hint="eastAsia" w:ascii="楷体" w:eastAsia="楷体"/>
          <w:sz w:val="28"/>
        </w:rPr>
        <w:t>三、支</w:t>
      </w:r>
      <w:r>
        <w:rPr>
          <w:rFonts w:hint="eastAsia" w:ascii="楷体" w:eastAsia="楷体"/>
          <w:spacing w:val="-3"/>
          <w:sz w:val="28"/>
        </w:rPr>
        <w:t>出</w:t>
      </w:r>
      <w:r>
        <w:rPr>
          <w:rFonts w:hint="eastAsia" w:ascii="楷体" w:eastAsia="楷体"/>
          <w:sz w:val="28"/>
        </w:rPr>
        <w:t>决算</w:t>
      </w:r>
      <w:r>
        <w:rPr>
          <w:rFonts w:hint="eastAsia" w:ascii="楷体" w:eastAsia="楷体"/>
          <w:spacing w:val="-3"/>
          <w:sz w:val="28"/>
        </w:rPr>
        <w:t>情况</w:t>
      </w:r>
      <w:r>
        <w:rPr>
          <w:rFonts w:hint="eastAsia" w:ascii="楷体" w:eastAsia="楷体"/>
          <w:sz w:val="28"/>
        </w:rPr>
        <w:t>说明</w:t>
      </w:r>
      <w:r>
        <w:rPr>
          <w:rFonts w:hint="eastAsia" w:ascii="楷体" w:eastAsia="楷体"/>
          <w:sz w:val="28"/>
        </w:rPr>
        <w:tab/>
      </w:r>
      <w:r>
        <w:rPr>
          <w:rFonts w:hint="eastAsia" w:ascii="Calibri"/>
          <w:sz w:val="28"/>
          <w:lang w:val="en-US" w:eastAsia="zh-CN"/>
        </w:rPr>
        <w:t>5</w:t>
      </w:r>
    </w:p>
    <w:p>
      <w:pPr>
        <w:tabs>
          <w:tab w:val="left" w:leader="dot" w:pos="8617"/>
        </w:tabs>
        <w:spacing w:before="265"/>
        <w:ind w:left="650" w:right="0" w:firstLine="0"/>
        <w:jc w:val="left"/>
        <w:rPr>
          <w:rFonts w:hint="eastAsia" w:ascii="楷体" w:eastAsia="楷体"/>
          <w:sz w:val="28"/>
          <w:lang w:val="en-US" w:eastAsia="zh-CN"/>
        </w:rPr>
      </w:pPr>
      <w:r>
        <w:rPr>
          <w:rFonts w:hint="eastAsia" w:ascii="楷体" w:eastAsia="楷体"/>
          <w:sz w:val="28"/>
        </w:rPr>
        <w:t>四、财</w:t>
      </w:r>
      <w:r>
        <w:rPr>
          <w:rFonts w:hint="eastAsia" w:ascii="楷体" w:eastAsia="楷体"/>
          <w:spacing w:val="-3"/>
          <w:sz w:val="28"/>
        </w:rPr>
        <w:t>政</w:t>
      </w:r>
      <w:r>
        <w:rPr>
          <w:rFonts w:hint="eastAsia" w:ascii="楷体" w:eastAsia="楷体"/>
          <w:sz w:val="28"/>
        </w:rPr>
        <w:t>拨款</w:t>
      </w:r>
      <w:r>
        <w:rPr>
          <w:rFonts w:hint="eastAsia" w:ascii="楷体" w:eastAsia="楷体"/>
          <w:spacing w:val="-3"/>
          <w:sz w:val="28"/>
        </w:rPr>
        <w:t>收入</w:t>
      </w:r>
      <w:r>
        <w:rPr>
          <w:rFonts w:hint="eastAsia" w:ascii="楷体" w:eastAsia="楷体"/>
          <w:sz w:val="28"/>
        </w:rPr>
        <w:t>支出决</w:t>
      </w:r>
      <w:r>
        <w:rPr>
          <w:rFonts w:hint="eastAsia" w:ascii="楷体" w:eastAsia="楷体"/>
          <w:spacing w:val="-3"/>
          <w:sz w:val="28"/>
        </w:rPr>
        <w:t>算</w:t>
      </w:r>
      <w:r>
        <w:rPr>
          <w:rFonts w:hint="eastAsia" w:ascii="楷体" w:eastAsia="楷体"/>
          <w:sz w:val="28"/>
        </w:rPr>
        <w:t>总体</w:t>
      </w:r>
      <w:r>
        <w:rPr>
          <w:rFonts w:hint="eastAsia" w:ascii="楷体" w:eastAsia="楷体"/>
          <w:spacing w:val="-3"/>
          <w:sz w:val="28"/>
        </w:rPr>
        <w:t>情况</w:t>
      </w:r>
      <w:r>
        <w:rPr>
          <w:rFonts w:hint="eastAsia" w:ascii="楷体" w:eastAsia="楷体"/>
          <w:sz w:val="28"/>
        </w:rPr>
        <w:t>说明</w:t>
      </w:r>
      <w:r>
        <w:rPr>
          <w:rFonts w:hint="eastAsia" w:ascii="楷体" w:eastAsia="楷体"/>
          <w:sz w:val="28"/>
        </w:rPr>
        <w:tab/>
      </w:r>
      <w:r>
        <w:rPr>
          <w:rFonts w:hint="eastAsia" w:ascii="楷体" w:eastAsia="楷体"/>
          <w:sz w:val="28"/>
          <w:lang w:val="en-US" w:eastAsia="zh-CN"/>
        </w:rPr>
        <w:t>5</w:t>
      </w:r>
    </w:p>
    <w:p>
      <w:pPr>
        <w:numPr>
          <w:ilvl w:val="0"/>
          <w:numId w:val="0"/>
        </w:numPr>
        <w:tabs>
          <w:tab w:val="right" w:leader="dot" w:pos="8759"/>
        </w:tabs>
        <w:spacing w:before="34"/>
        <w:ind w:right="0" w:rightChars="0"/>
        <w:jc w:val="left"/>
        <w:rPr>
          <w:rFonts w:hint="eastAsia" w:ascii="楷体" w:eastAsia="楷体"/>
          <w:sz w:val="28"/>
        </w:rPr>
      </w:pPr>
    </w:p>
    <w:p>
      <w:pPr>
        <w:numPr>
          <w:ilvl w:val="0"/>
          <w:numId w:val="0"/>
        </w:numPr>
        <w:tabs>
          <w:tab w:val="right" w:leader="dot" w:pos="8759"/>
        </w:tabs>
        <w:spacing w:before="34"/>
        <w:ind w:right="0" w:rightChars="0" w:firstLine="560" w:firstLineChars="200"/>
        <w:jc w:val="left"/>
        <w:rPr>
          <w:rFonts w:hint="default" w:ascii="Calibri" w:eastAsia="楷体"/>
          <w:sz w:val="28"/>
          <w:lang w:val="en-US" w:eastAsia="zh-CN"/>
        </w:rPr>
      </w:pPr>
      <w:r>
        <w:rPr>
          <w:rFonts w:hint="eastAsia" w:ascii="楷体" w:eastAsia="楷体"/>
          <w:sz w:val="28"/>
        </w:rPr>
        <w:t>五、一</w:t>
      </w:r>
      <w:r>
        <w:rPr>
          <w:rFonts w:hint="eastAsia" w:ascii="楷体" w:eastAsia="楷体"/>
          <w:spacing w:val="-3"/>
          <w:sz w:val="28"/>
        </w:rPr>
        <w:t>般</w:t>
      </w:r>
      <w:r>
        <w:rPr>
          <w:rFonts w:hint="eastAsia" w:ascii="楷体" w:eastAsia="楷体"/>
          <w:sz w:val="28"/>
        </w:rPr>
        <w:t>公共</w:t>
      </w:r>
      <w:r>
        <w:rPr>
          <w:rFonts w:hint="eastAsia" w:ascii="楷体" w:eastAsia="楷体"/>
          <w:spacing w:val="-3"/>
          <w:sz w:val="28"/>
        </w:rPr>
        <w:t>预算</w:t>
      </w:r>
      <w:r>
        <w:rPr>
          <w:rFonts w:hint="eastAsia" w:ascii="楷体" w:eastAsia="楷体"/>
          <w:sz w:val="28"/>
        </w:rPr>
        <w:t>财政拨</w:t>
      </w:r>
      <w:r>
        <w:rPr>
          <w:rFonts w:hint="eastAsia" w:ascii="楷体" w:eastAsia="楷体"/>
          <w:spacing w:val="-3"/>
          <w:sz w:val="28"/>
        </w:rPr>
        <w:t>款</w:t>
      </w:r>
      <w:r>
        <w:rPr>
          <w:rFonts w:hint="eastAsia" w:ascii="楷体" w:eastAsia="楷体"/>
          <w:sz w:val="28"/>
        </w:rPr>
        <w:t>支出</w:t>
      </w:r>
      <w:r>
        <w:rPr>
          <w:rFonts w:hint="eastAsia" w:ascii="楷体" w:eastAsia="楷体"/>
          <w:spacing w:val="-3"/>
          <w:sz w:val="28"/>
        </w:rPr>
        <w:t>决算</w:t>
      </w:r>
      <w:r>
        <w:rPr>
          <w:rFonts w:hint="eastAsia" w:ascii="楷体" w:eastAsia="楷体"/>
          <w:sz w:val="28"/>
        </w:rPr>
        <w:t>情况说明</w:t>
      </w:r>
      <w:r>
        <w:rPr>
          <w:rFonts w:hint="eastAsia" w:ascii="楷体" w:eastAsia="楷体"/>
          <w:sz w:val="28"/>
        </w:rPr>
        <w:tab/>
      </w:r>
      <w:r>
        <w:rPr>
          <w:rFonts w:hint="eastAsia" w:ascii="Calibri"/>
          <w:sz w:val="28"/>
          <w:lang w:val="en-US" w:eastAsia="zh-CN"/>
        </w:rPr>
        <w:t>6</w:t>
      </w:r>
    </w:p>
    <w:p>
      <w:pPr>
        <w:tabs>
          <w:tab w:val="right" w:leader="dot" w:pos="8759"/>
        </w:tabs>
        <w:spacing w:before="266"/>
        <w:ind w:left="650" w:right="0" w:firstLine="0"/>
        <w:jc w:val="left"/>
        <w:rPr>
          <w:rFonts w:hint="default" w:ascii="Calibri" w:eastAsia="楷体"/>
          <w:sz w:val="28"/>
          <w:lang w:val="en-US" w:eastAsia="zh-CN"/>
        </w:rPr>
      </w:pPr>
      <w:r>
        <w:rPr>
          <w:rFonts w:hint="eastAsia" w:ascii="楷体" w:eastAsia="楷体"/>
          <w:sz w:val="28"/>
        </w:rPr>
        <w:t>六、一</w:t>
      </w:r>
      <w:r>
        <w:rPr>
          <w:rFonts w:hint="eastAsia" w:ascii="楷体" w:eastAsia="楷体"/>
          <w:spacing w:val="-3"/>
          <w:sz w:val="28"/>
        </w:rPr>
        <w:t>般</w:t>
      </w:r>
      <w:r>
        <w:rPr>
          <w:rFonts w:hint="eastAsia" w:ascii="楷体" w:eastAsia="楷体"/>
          <w:sz w:val="28"/>
        </w:rPr>
        <w:t>公共</w:t>
      </w:r>
      <w:r>
        <w:rPr>
          <w:rFonts w:hint="eastAsia" w:ascii="楷体" w:eastAsia="楷体"/>
          <w:spacing w:val="-3"/>
          <w:sz w:val="28"/>
        </w:rPr>
        <w:t>预算</w:t>
      </w:r>
      <w:r>
        <w:rPr>
          <w:rFonts w:hint="eastAsia" w:ascii="楷体" w:eastAsia="楷体"/>
          <w:sz w:val="28"/>
        </w:rPr>
        <w:t>财政拨款基本</w:t>
      </w:r>
      <w:r>
        <w:rPr>
          <w:rFonts w:hint="eastAsia" w:ascii="楷体" w:eastAsia="楷体"/>
          <w:spacing w:val="-3"/>
          <w:sz w:val="28"/>
        </w:rPr>
        <w:t>支出</w:t>
      </w:r>
      <w:r>
        <w:rPr>
          <w:rFonts w:hint="eastAsia" w:ascii="楷体" w:eastAsia="楷体"/>
          <w:sz w:val="28"/>
        </w:rPr>
        <w:t>决算情</w:t>
      </w:r>
      <w:r>
        <w:rPr>
          <w:rFonts w:hint="eastAsia" w:ascii="楷体" w:eastAsia="楷体"/>
          <w:spacing w:val="-3"/>
          <w:sz w:val="28"/>
        </w:rPr>
        <w:t>况</w:t>
      </w:r>
      <w:r>
        <w:rPr>
          <w:rFonts w:hint="eastAsia" w:ascii="楷体" w:eastAsia="楷体"/>
          <w:sz w:val="28"/>
        </w:rPr>
        <w:t>说明</w:t>
      </w:r>
      <w:r>
        <w:rPr>
          <w:rFonts w:hint="eastAsia" w:ascii="楷体" w:eastAsia="楷体"/>
          <w:sz w:val="28"/>
        </w:rPr>
        <w:tab/>
      </w:r>
      <w:r>
        <w:rPr>
          <w:rFonts w:hint="eastAsia" w:ascii="Calibri"/>
          <w:sz w:val="28"/>
          <w:lang w:val="en-US" w:eastAsia="zh-CN"/>
        </w:rPr>
        <w:t>6</w:t>
      </w:r>
    </w:p>
    <w:p>
      <w:pPr>
        <w:tabs>
          <w:tab w:val="right" w:leader="dot" w:pos="8759"/>
        </w:tabs>
        <w:spacing w:before="265"/>
        <w:ind w:left="650" w:right="0" w:firstLine="0"/>
        <w:jc w:val="left"/>
        <w:rPr>
          <w:rFonts w:hint="default" w:ascii="Calibri" w:hAnsi="Calibri" w:eastAsia="楷体"/>
          <w:sz w:val="28"/>
          <w:lang w:val="en-US" w:eastAsia="zh-CN"/>
        </w:rPr>
      </w:pPr>
      <w:r>
        <w:rPr>
          <w:rFonts w:hint="eastAsia" w:ascii="楷体" w:hAnsi="楷体" w:eastAsia="楷体"/>
          <w:sz w:val="28"/>
        </w:rPr>
        <w:t>七、一</w:t>
      </w:r>
      <w:r>
        <w:rPr>
          <w:rFonts w:hint="eastAsia" w:ascii="楷体" w:hAnsi="楷体" w:eastAsia="楷体"/>
          <w:spacing w:val="-3"/>
          <w:sz w:val="28"/>
        </w:rPr>
        <w:t>般</w:t>
      </w:r>
      <w:r>
        <w:rPr>
          <w:rFonts w:hint="eastAsia" w:ascii="楷体" w:hAnsi="楷体" w:eastAsia="楷体"/>
          <w:sz w:val="28"/>
        </w:rPr>
        <w:t>公共</w:t>
      </w:r>
      <w:r>
        <w:rPr>
          <w:rFonts w:hint="eastAsia" w:ascii="楷体" w:hAnsi="楷体" w:eastAsia="楷体"/>
          <w:spacing w:val="-3"/>
          <w:sz w:val="28"/>
        </w:rPr>
        <w:t>预算</w:t>
      </w:r>
      <w:r>
        <w:rPr>
          <w:rFonts w:hint="eastAsia" w:ascii="楷体" w:hAnsi="楷体" w:eastAsia="楷体"/>
          <w:sz w:val="28"/>
        </w:rPr>
        <w:t>财政拨</w:t>
      </w:r>
      <w:r>
        <w:rPr>
          <w:rFonts w:hint="eastAsia" w:ascii="楷体" w:hAnsi="楷体" w:eastAsia="楷体"/>
          <w:spacing w:val="-3"/>
          <w:sz w:val="28"/>
        </w:rPr>
        <w:t>款</w:t>
      </w:r>
      <w:r>
        <w:rPr>
          <w:rFonts w:hint="eastAsia" w:ascii="楷体" w:hAnsi="楷体" w:eastAsia="楷体"/>
          <w:sz w:val="28"/>
        </w:rPr>
        <w:t>“三</w:t>
      </w:r>
      <w:r>
        <w:rPr>
          <w:rFonts w:hint="eastAsia" w:ascii="楷体" w:hAnsi="楷体" w:eastAsia="楷体"/>
          <w:spacing w:val="-3"/>
          <w:sz w:val="28"/>
        </w:rPr>
        <w:t>公”</w:t>
      </w:r>
      <w:r>
        <w:rPr>
          <w:rFonts w:hint="eastAsia" w:ascii="楷体" w:hAnsi="楷体" w:eastAsia="楷体"/>
          <w:sz w:val="28"/>
        </w:rPr>
        <w:t>经费支</w:t>
      </w:r>
      <w:r>
        <w:rPr>
          <w:rFonts w:hint="eastAsia" w:ascii="楷体" w:hAnsi="楷体" w:eastAsia="楷体"/>
          <w:spacing w:val="-3"/>
          <w:sz w:val="28"/>
        </w:rPr>
        <w:t>出</w:t>
      </w:r>
      <w:r>
        <w:rPr>
          <w:rFonts w:hint="eastAsia" w:ascii="楷体" w:hAnsi="楷体" w:eastAsia="楷体"/>
          <w:sz w:val="28"/>
        </w:rPr>
        <w:t>决算</w:t>
      </w:r>
      <w:r>
        <w:rPr>
          <w:rFonts w:hint="eastAsia" w:ascii="楷体" w:hAnsi="楷体" w:eastAsia="楷体"/>
          <w:spacing w:val="-3"/>
          <w:sz w:val="28"/>
        </w:rPr>
        <w:t>情况</w:t>
      </w:r>
      <w:r>
        <w:rPr>
          <w:rFonts w:hint="eastAsia" w:ascii="楷体" w:hAnsi="楷体" w:eastAsia="楷体"/>
          <w:sz w:val="28"/>
        </w:rPr>
        <w:t>说明</w:t>
      </w:r>
      <w:r>
        <w:rPr>
          <w:rFonts w:hint="eastAsia" w:ascii="楷体" w:hAnsi="楷体" w:eastAsia="楷体"/>
          <w:sz w:val="28"/>
        </w:rPr>
        <w:tab/>
      </w:r>
      <w:r>
        <w:rPr>
          <w:rFonts w:hint="eastAsia" w:ascii="Calibri" w:hAnsi="Calibri"/>
          <w:sz w:val="28"/>
          <w:lang w:val="en-US" w:eastAsia="zh-CN"/>
        </w:rPr>
        <w:t>7</w:t>
      </w:r>
    </w:p>
    <w:p>
      <w:pPr>
        <w:tabs>
          <w:tab w:val="right" w:leader="dot" w:pos="8759"/>
        </w:tabs>
        <w:spacing w:before="265"/>
        <w:ind w:left="650" w:right="0" w:firstLine="0"/>
        <w:jc w:val="left"/>
        <w:rPr>
          <w:rFonts w:hint="eastAsia" w:ascii="Calibri" w:eastAsia="楷体"/>
          <w:sz w:val="28"/>
          <w:lang w:val="en-US" w:eastAsia="zh-CN"/>
        </w:rPr>
      </w:pPr>
      <w:r>
        <w:rPr>
          <w:rFonts w:hint="eastAsia" w:ascii="楷体" w:eastAsia="楷体"/>
          <w:sz w:val="28"/>
        </w:rPr>
        <w:t>八、政</w:t>
      </w:r>
      <w:r>
        <w:rPr>
          <w:rFonts w:hint="eastAsia" w:ascii="楷体" w:eastAsia="楷体"/>
          <w:spacing w:val="-3"/>
          <w:sz w:val="28"/>
        </w:rPr>
        <w:t>府</w:t>
      </w:r>
      <w:r>
        <w:rPr>
          <w:rFonts w:hint="eastAsia" w:ascii="楷体" w:eastAsia="楷体"/>
          <w:sz w:val="28"/>
        </w:rPr>
        <w:t>性基</w:t>
      </w:r>
      <w:r>
        <w:rPr>
          <w:rFonts w:hint="eastAsia" w:ascii="楷体" w:eastAsia="楷体"/>
          <w:spacing w:val="-3"/>
          <w:sz w:val="28"/>
        </w:rPr>
        <w:t>金预</w:t>
      </w:r>
      <w:r>
        <w:rPr>
          <w:rFonts w:hint="eastAsia" w:ascii="楷体" w:eastAsia="楷体"/>
          <w:sz w:val="28"/>
        </w:rPr>
        <w:t>算收入</w:t>
      </w:r>
      <w:r>
        <w:rPr>
          <w:rFonts w:hint="eastAsia" w:ascii="楷体" w:eastAsia="楷体"/>
          <w:spacing w:val="-3"/>
          <w:sz w:val="28"/>
        </w:rPr>
        <w:t>支</w:t>
      </w:r>
      <w:r>
        <w:rPr>
          <w:rFonts w:hint="eastAsia" w:ascii="楷体" w:eastAsia="楷体"/>
          <w:sz w:val="28"/>
        </w:rPr>
        <w:t>出决算</w:t>
      </w:r>
      <w:r>
        <w:rPr>
          <w:rFonts w:hint="eastAsia" w:ascii="楷体" w:eastAsia="楷体"/>
          <w:spacing w:val="-3"/>
          <w:sz w:val="28"/>
        </w:rPr>
        <w:t>情</w:t>
      </w:r>
      <w:r>
        <w:rPr>
          <w:rFonts w:hint="eastAsia" w:ascii="楷体" w:eastAsia="楷体"/>
          <w:sz w:val="28"/>
        </w:rPr>
        <w:t>况说明</w:t>
      </w:r>
      <w:r>
        <w:rPr>
          <w:rFonts w:hint="eastAsia" w:ascii="楷体" w:eastAsia="楷体"/>
          <w:sz w:val="28"/>
        </w:rPr>
        <w:tab/>
      </w:r>
      <w:r>
        <w:rPr>
          <w:rFonts w:hint="eastAsia" w:ascii="楷体" w:eastAsia="楷体"/>
          <w:sz w:val="28"/>
          <w:lang w:val="en-US" w:eastAsia="zh-CN"/>
        </w:rPr>
        <w:t>7</w:t>
      </w:r>
    </w:p>
    <w:p>
      <w:pPr>
        <w:tabs>
          <w:tab w:val="right" w:leader="dot" w:pos="8759"/>
        </w:tabs>
        <w:spacing w:before="265"/>
        <w:ind w:left="650" w:right="0" w:firstLine="0"/>
        <w:jc w:val="left"/>
        <w:rPr>
          <w:rFonts w:hint="default" w:ascii="Calibri" w:eastAsia="楷体"/>
          <w:sz w:val="28"/>
          <w:lang w:val="en-US" w:eastAsia="zh-CN"/>
        </w:rPr>
      </w:pPr>
      <w:r>
        <w:rPr>
          <w:rFonts w:hint="eastAsia" w:ascii="楷体" w:eastAsia="楷体"/>
          <w:sz w:val="28"/>
        </w:rPr>
        <w:t>九、其</w:t>
      </w:r>
      <w:r>
        <w:rPr>
          <w:rFonts w:hint="eastAsia" w:ascii="楷体" w:eastAsia="楷体"/>
          <w:spacing w:val="-3"/>
          <w:sz w:val="28"/>
        </w:rPr>
        <w:t>他</w:t>
      </w:r>
      <w:r>
        <w:rPr>
          <w:rFonts w:hint="eastAsia" w:ascii="楷体" w:eastAsia="楷体"/>
          <w:sz w:val="28"/>
        </w:rPr>
        <w:t>重要</w:t>
      </w:r>
      <w:r>
        <w:rPr>
          <w:rFonts w:hint="eastAsia" w:ascii="楷体" w:eastAsia="楷体"/>
          <w:spacing w:val="-3"/>
          <w:sz w:val="28"/>
        </w:rPr>
        <w:t>事项</w:t>
      </w:r>
      <w:r>
        <w:rPr>
          <w:rFonts w:hint="eastAsia" w:ascii="楷体" w:eastAsia="楷体"/>
          <w:sz w:val="28"/>
        </w:rPr>
        <w:t>的情况</w:t>
      </w:r>
      <w:r>
        <w:rPr>
          <w:rFonts w:hint="eastAsia" w:ascii="楷体" w:eastAsia="楷体"/>
          <w:spacing w:val="-3"/>
          <w:sz w:val="28"/>
        </w:rPr>
        <w:t>说</w:t>
      </w:r>
      <w:r>
        <w:rPr>
          <w:rFonts w:hint="eastAsia" w:ascii="楷体" w:eastAsia="楷体"/>
          <w:sz w:val="28"/>
        </w:rPr>
        <w:t>明</w:t>
      </w:r>
      <w:r>
        <w:rPr>
          <w:rFonts w:hint="eastAsia" w:ascii="楷体" w:eastAsia="楷体"/>
          <w:sz w:val="28"/>
        </w:rPr>
        <w:tab/>
      </w:r>
      <w:r>
        <w:rPr>
          <w:rFonts w:hint="eastAsia" w:ascii="Calibri"/>
          <w:sz w:val="28"/>
          <w:lang w:val="en-US" w:eastAsia="zh-CN"/>
        </w:rPr>
        <w:t>8</w:t>
      </w:r>
    </w:p>
    <w:p>
      <w:pPr>
        <w:tabs>
          <w:tab w:val="right" w:leader="dot" w:pos="8759"/>
        </w:tabs>
        <w:spacing w:before="266"/>
        <w:ind w:left="230" w:right="0" w:firstLine="0"/>
        <w:jc w:val="left"/>
        <w:rPr>
          <w:rFonts w:ascii="Calibri" w:eastAsia="Calibri"/>
          <w:sz w:val="28"/>
        </w:rPr>
        <w:sectPr>
          <w:footerReference r:id="rId5" w:type="default"/>
          <w:pgSz w:w="11910" w:h="16840"/>
          <w:pgMar w:top="1520" w:right="1420" w:bottom="1160" w:left="1460" w:header="0" w:footer="975" w:gutter="0"/>
          <w:pgNumType w:start="1"/>
          <w:cols w:space="720" w:num="1"/>
        </w:sectPr>
      </w:pPr>
      <w:r>
        <w:fldChar w:fldCharType="begin"/>
      </w:r>
      <w:r>
        <w:instrText xml:space="preserve"> HYPERLINK \l "_bookmark5" </w:instrText>
      </w:r>
      <w:r>
        <w:fldChar w:fldCharType="separate"/>
      </w:r>
      <w:r>
        <w:rPr>
          <w:rFonts w:hint="eastAsia" w:ascii="黑体" w:eastAsia="黑体"/>
          <w:sz w:val="28"/>
        </w:rPr>
        <w:t>第四部</w:t>
      </w:r>
      <w:r>
        <w:rPr>
          <w:rFonts w:hint="eastAsia" w:ascii="黑体" w:eastAsia="黑体"/>
          <w:spacing w:val="-3"/>
          <w:sz w:val="28"/>
        </w:rPr>
        <w:t>分</w:t>
      </w:r>
      <w:r>
        <w:rPr>
          <w:rFonts w:hint="eastAsia" w:ascii="黑体" w:eastAsia="黑体"/>
          <w:sz w:val="28"/>
        </w:rPr>
        <w:t>、名</w:t>
      </w:r>
      <w:r>
        <w:rPr>
          <w:rFonts w:hint="eastAsia" w:ascii="黑体" w:eastAsia="黑体"/>
          <w:spacing w:val="-3"/>
          <w:sz w:val="28"/>
        </w:rPr>
        <w:t>词解</w:t>
      </w:r>
      <w:r>
        <w:rPr>
          <w:rFonts w:hint="eastAsia" w:ascii="黑体" w:eastAsia="黑体"/>
          <w:sz w:val="28"/>
        </w:rPr>
        <w:t>释</w:t>
      </w:r>
      <w:r>
        <w:rPr>
          <w:rFonts w:hint="eastAsia" w:ascii="黑体" w:eastAsia="黑体"/>
          <w:sz w:val="28"/>
        </w:rPr>
        <w:tab/>
      </w:r>
      <w:r>
        <w:rPr>
          <w:rFonts w:hint="eastAsia" w:ascii="Calibri"/>
          <w:sz w:val="28"/>
          <w:lang w:val="en-US" w:eastAsia="zh-CN"/>
        </w:rPr>
        <w:t>8</w:t>
      </w:r>
      <w:r>
        <w:rPr>
          <w:rFonts w:ascii="Calibri" w:eastAsia="Calibri"/>
          <w:sz w:val="28"/>
        </w:rPr>
        <w:fldChar w:fldCharType="end"/>
      </w:r>
    </w:p>
    <w:p>
      <w:pPr>
        <w:pStyle w:val="2"/>
        <w:tabs>
          <w:tab w:val="left" w:pos="1600"/>
        </w:tabs>
        <w:spacing w:before="26"/>
        <w:ind w:right="38"/>
        <w:jc w:val="center"/>
        <w:rPr>
          <w:rFonts w:hint="eastAsia" w:ascii="黑体" w:eastAsia="黑体"/>
        </w:rPr>
      </w:pPr>
      <w:r>
        <w:rPr>
          <w:rFonts w:hint="eastAsia" w:ascii="黑体" w:eastAsia="黑体"/>
        </w:rPr>
        <w:t>第一部分</w:t>
      </w:r>
      <w:r>
        <w:rPr>
          <w:rFonts w:hint="eastAsia" w:ascii="黑体" w:eastAsia="黑体"/>
        </w:rPr>
        <w:tab/>
      </w:r>
      <w:r>
        <w:rPr>
          <w:rFonts w:hint="eastAsia" w:ascii="黑体" w:eastAsia="黑体"/>
        </w:rPr>
        <w:t>单位概况</w:t>
      </w:r>
    </w:p>
    <w:p>
      <w:pPr>
        <w:ind w:firstLine="643" w:firstLineChars="200"/>
        <w:rPr>
          <w:rFonts w:hint="eastAsia"/>
          <w:b/>
          <w:bCs/>
          <w:sz w:val="32"/>
          <w:szCs w:val="32"/>
        </w:rPr>
      </w:pPr>
    </w:p>
    <w:p>
      <w:pPr>
        <w:numPr>
          <w:ilvl w:val="0"/>
          <w:numId w:val="1"/>
        </w:numPr>
        <w:ind w:firstLine="643" w:firstLineChars="200"/>
        <w:rPr>
          <w:rFonts w:hint="eastAsia"/>
          <w:b/>
          <w:bCs/>
          <w:sz w:val="32"/>
          <w:szCs w:val="32"/>
        </w:rPr>
      </w:pPr>
      <w:r>
        <w:rPr>
          <w:rFonts w:hint="eastAsia"/>
          <w:b/>
          <w:bCs/>
          <w:sz w:val="32"/>
          <w:szCs w:val="32"/>
        </w:rPr>
        <w:t>山西省统计局朔州市调查监测中心主要职能：</w:t>
      </w:r>
    </w:p>
    <w:p>
      <w:pPr>
        <w:numPr>
          <w:ilvl w:val="0"/>
          <w:numId w:val="0"/>
        </w:numPr>
        <w:ind w:leftChars="200" w:right="0" w:rightChars="0"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贯彻执行党和国家及省、市有关方针、政策和法律法规；制定全市统计工作现代化规划、统计调查计划和统计调查方案，统一领导和协调全市所有单位(包括中央和省驻朔单位)的统计工作，组织并监督检查全市统计法律法规和统计制度的实施；领导和综合协调全市国民经济核算工作；按照国家和省、市有关部署，会同有关部门组织实施全市重大国情国力调查；组织全市各级统计部门和统计人员完成国家及省统一部署的各种经济社会发展统计调查工作,完成国家和省市部署的有关专项调查、重点调查、抽样调查等调查任务；搜集、整理和提供全市的基本统计资料，并对全市国民经济、社会发展和科技进步情况进行统计分析、统计预测和统计监督，为市委、市政府宏观决策提供建议和咨询服务，为社会各界提供信息服务；统一检查、审定、管理、公布和出版全市性的基本统计资料，定期发布全市国民经济和社会发展情况的统计公报；统一管理和指导我市的城市调查队、统计调查监测中心工作；组织指导全市各部门、各单位加强统计基础工作建设，加强统计教育、统计干部培训和统计科学研究工作;完成市委、市政府和上级统计部门交办的其它任务。</w:t>
      </w:r>
    </w:p>
    <w:p>
      <w:pPr>
        <w:numPr>
          <w:ilvl w:val="0"/>
          <w:numId w:val="0"/>
        </w:numPr>
        <w:ind w:right="0" w:rightChars="0"/>
        <w:rPr>
          <w:rFonts w:hint="eastAsia" w:eastAsia="宋体"/>
          <w:b/>
          <w:bCs/>
          <w:sz w:val="32"/>
          <w:szCs w:val="32"/>
          <w:lang w:eastAsia="zh-CN"/>
        </w:rPr>
      </w:pPr>
      <w:r>
        <w:rPr>
          <w:rFonts w:hint="eastAsia"/>
          <w:b/>
          <w:bCs/>
          <w:sz w:val="32"/>
          <w:szCs w:val="32"/>
        </w:rPr>
        <w:t>二、机构设置情况</w:t>
      </w:r>
    </w:p>
    <w:p>
      <w:pPr>
        <w:numPr>
          <w:ilvl w:val="0"/>
          <w:numId w:val="0"/>
        </w:numPr>
        <w:ind w:right="0" w:rightChars="0"/>
        <w:rPr>
          <w:rFonts w:hint="eastAsia" w:ascii="仿宋_GB2312" w:eastAsia="仿宋_GB2312"/>
          <w:sz w:val="32"/>
          <w:szCs w:val="32"/>
        </w:rPr>
      </w:pPr>
      <w:r>
        <w:rPr>
          <w:rFonts w:hint="eastAsia" w:ascii="仿宋_GB2312" w:eastAsia="仿宋_GB2312"/>
          <w:sz w:val="32"/>
          <w:szCs w:val="32"/>
        </w:rPr>
        <w:t>1、人员基本情况</w:t>
      </w:r>
    </w:p>
    <w:p>
      <w:pPr>
        <w:ind w:firstLine="537" w:firstLineChars="168"/>
        <w:rPr>
          <w:rFonts w:hint="eastAsia" w:ascii="仿宋_GB2312" w:eastAsia="仿宋_GB2312"/>
          <w:sz w:val="32"/>
          <w:szCs w:val="32"/>
        </w:rPr>
      </w:pPr>
      <w:r>
        <w:rPr>
          <w:rFonts w:hint="eastAsia" w:ascii="仿宋_GB2312" w:eastAsia="仿宋_GB2312"/>
          <w:sz w:val="32"/>
          <w:szCs w:val="32"/>
        </w:rPr>
        <w:t>山西省统计局朔州市调查监测中心属参公事业单位，编制1</w:t>
      </w:r>
      <w:r>
        <w:rPr>
          <w:rFonts w:hint="eastAsia" w:ascii="仿宋_GB2312" w:eastAsia="仿宋_GB2312"/>
          <w:sz w:val="32"/>
          <w:szCs w:val="32"/>
          <w:lang w:val="en-US" w:eastAsia="zh-CN"/>
        </w:rPr>
        <w:t>4</w:t>
      </w:r>
      <w:r>
        <w:rPr>
          <w:rFonts w:hint="eastAsia" w:ascii="仿宋_GB2312" w:eastAsia="仿宋_GB2312"/>
          <w:sz w:val="32"/>
          <w:szCs w:val="32"/>
        </w:rPr>
        <w:t>人，实有1</w:t>
      </w:r>
      <w:r>
        <w:rPr>
          <w:rFonts w:hint="eastAsia" w:ascii="仿宋_GB2312" w:eastAsia="仿宋_GB2312"/>
          <w:sz w:val="32"/>
          <w:szCs w:val="32"/>
          <w:lang w:val="en-US" w:eastAsia="zh-CN"/>
        </w:rPr>
        <w:t>4</w:t>
      </w:r>
      <w:r>
        <w:rPr>
          <w:rFonts w:hint="eastAsia" w:ascii="仿宋_GB2312" w:eastAsia="仿宋_GB2312"/>
          <w:sz w:val="32"/>
          <w:szCs w:val="32"/>
        </w:rPr>
        <w:t>人,2018年退休人员2名。</w:t>
      </w:r>
    </w:p>
    <w:p>
      <w:pPr>
        <w:numPr>
          <w:ilvl w:val="0"/>
          <w:numId w:val="2"/>
        </w:numPr>
        <w:ind w:firstLine="640" w:firstLineChars="200"/>
        <w:rPr>
          <w:rFonts w:hint="eastAsia" w:ascii="仿宋_GB2312" w:eastAsia="仿宋_GB2312"/>
          <w:sz w:val="32"/>
          <w:szCs w:val="32"/>
        </w:rPr>
      </w:pPr>
      <w:r>
        <w:rPr>
          <w:rFonts w:hint="eastAsia" w:ascii="仿宋_GB2312" w:eastAsia="仿宋_GB2312"/>
          <w:sz w:val="32"/>
          <w:szCs w:val="32"/>
        </w:rPr>
        <w:t>单位设施情况</w:t>
      </w:r>
    </w:p>
    <w:p>
      <w:pPr>
        <w:numPr>
          <w:ilvl w:val="0"/>
          <w:numId w:val="0"/>
        </w:numPr>
        <w:ind w:leftChars="200" w:right="0" w:rightChars="0" w:firstLine="320" w:firstLineChars="100"/>
        <w:rPr>
          <w:rFonts w:hint="eastAsia" w:ascii="仿宋_GB2312" w:eastAsia="仿宋_GB2312"/>
          <w:sz w:val="32"/>
          <w:szCs w:val="32"/>
        </w:rPr>
      </w:pPr>
      <w:r>
        <w:rPr>
          <w:rFonts w:hint="eastAsia" w:ascii="仿宋_GB2312" w:eastAsia="仿宋_GB2312"/>
          <w:sz w:val="32"/>
          <w:szCs w:val="32"/>
        </w:rPr>
        <w:t>财政核定小汽车编制数1辆，实有小汽车1辆。</w:t>
      </w:r>
    </w:p>
    <w:p>
      <w:pPr>
        <w:pStyle w:val="2"/>
        <w:numPr>
          <w:ilvl w:val="0"/>
          <w:numId w:val="3"/>
        </w:numPr>
        <w:tabs>
          <w:tab w:val="left" w:pos="1762"/>
        </w:tabs>
        <w:spacing w:before="282"/>
        <w:ind w:right="36"/>
        <w:jc w:val="center"/>
        <w:rPr>
          <w:rFonts w:hint="eastAsia" w:ascii="黑体" w:eastAsia="黑体"/>
        </w:rPr>
      </w:pPr>
      <w:r>
        <w:rPr>
          <w:rFonts w:hint="eastAsia" w:ascii="黑体" w:eastAsia="黑体"/>
        </w:rPr>
        <w:t>20</w:t>
      </w:r>
      <w:r>
        <w:rPr>
          <w:rFonts w:hint="eastAsia" w:ascii="黑体" w:eastAsia="黑体"/>
          <w:lang w:val="en-US" w:eastAsia="zh-CN"/>
        </w:rPr>
        <w:t>21</w:t>
      </w:r>
      <w:r>
        <w:rPr>
          <w:rFonts w:hint="eastAsia" w:ascii="黑体" w:eastAsia="黑体"/>
        </w:rPr>
        <w:t>年度部门决算公开报表（见附表）</w:t>
      </w:r>
    </w:p>
    <w:p>
      <w:pPr>
        <w:pStyle w:val="2"/>
        <w:spacing w:before="6"/>
        <w:ind w:firstLine="320" w:firstLineChars="100"/>
        <w:rPr>
          <w:rFonts w:hint="eastAsia" w:ascii="仿宋" w:hAnsi="仿宋" w:eastAsia="仿宋" w:cs="仿宋"/>
          <w:sz w:val="32"/>
          <w:szCs w:val="32"/>
          <w:lang w:val="en-US" w:eastAsia="zh-CN"/>
        </w:rPr>
      </w:pPr>
      <w:r>
        <w:rPr>
          <w:rFonts w:hint="eastAsia" w:ascii="仿宋" w:hAnsi="仿宋" w:eastAsia="仿宋" w:cs="仿宋"/>
          <w:sz w:val="32"/>
          <w:szCs w:val="32"/>
          <w:lang w:eastAsia="zh-CN"/>
        </w:rPr>
        <w:t>一、</w:t>
      </w:r>
      <w:r>
        <w:rPr>
          <w:rFonts w:hint="eastAsia" w:ascii="仿宋" w:hAnsi="仿宋" w:eastAsia="仿宋" w:cs="仿宋"/>
          <w:sz w:val="32"/>
          <w:szCs w:val="32"/>
          <w:lang w:val="en-US" w:eastAsia="zh-CN"/>
        </w:rPr>
        <w:t>202</w:t>
      </w:r>
      <w:r>
        <w:rPr>
          <w:rFonts w:hint="eastAsia" w:cs="仿宋"/>
          <w:sz w:val="32"/>
          <w:szCs w:val="32"/>
          <w:lang w:val="en-US" w:eastAsia="zh-CN"/>
        </w:rPr>
        <w:t>1</w:t>
      </w:r>
      <w:r>
        <w:rPr>
          <w:rFonts w:hint="eastAsia" w:ascii="仿宋" w:hAnsi="仿宋" w:eastAsia="仿宋" w:cs="仿宋"/>
          <w:sz w:val="32"/>
          <w:szCs w:val="32"/>
          <w:lang w:val="en-US" w:eastAsia="zh-CN"/>
        </w:rPr>
        <w:t>年收入支出决算总表</w:t>
      </w:r>
    </w:p>
    <w:p>
      <w:pPr>
        <w:pStyle w:val="2"/>
        <w:keepNext w:val="0"/>
        <w:keepLines w:val="0"/>
        <w:pageBreakBefore w:val="0"/>
        <w:widowControl w:val="0"/>
        <w:kinsoku/>
        <w:wordWrap/>
        <w:overflowPunct/>
        <w:topLinePunct w:val="0"/>
        <w:autoSpaceDE w:val="0"/>
        <w:autoSpaceDN w:val="0"/>
        <w:bidi w:val="0"/>
        <w:adjustRightInd/>
        <w:snapToGrid/>
        <w:spacing w:line="20" w:lineRule="atLeast"/>
        <w:ind w:left="232" w:right="4554"/>
        <w:textAlignment w:val="auto"/>
        <w:rPr>
          <w:rFonts w:hint="eastAsia" w:ascii="仿宋" w:hAnsi="仿宋" w:eastAsia="仿宋" w:cs="仿宋"/>
          <w:sz w:val="32"/>
          <w:szCs w:val="32"/>
        </w:rPr>
      </w:pPr>
      <w:r>
        <w:rPr>
          <w:rFonts w:hint="eastAsia" w:ascii="仿宋" w:hAnsi="仿宋" w:eastAsia="仿宋" w:cs="仿宋"/>
          <w:sz w:val="32"/>
          <w:szCs w:val="32"/>
        </w:rPr>
        <w:t>二、20</w:t>
      </w:r>
      <w:r>
        <w:rPr>
          <w:rFonts w:hint="eastAsia" w:ascii="仿宋" w:hAnsi="仿宋" w:eastAsia="仿宋" w:cs="仿宋"/>
          <w:sz w:val="32"/>
          <w:szCs w:val="32"/>
          <w:lang w:val="en-US" w:eastAsia="zh-CN"/>
        </w:rPr>
        <w:t>2</w:t>
      </w:r>
      <w:r>
        <w:rPr>
          <w:rFonts w:hint="eastAsia" w:cs="仿宋"/>
          <w:sz w:val="32"/>
          <w:szCs w:val="32"/>
          <w:lang w:val="en-US" w:eastAsia="zh-CN"/>
        </w:rPr>
        <w:t>1</w:t>
      </w:r>
      <w:r>
        <w:rPr>
          <w:rFonts w:hint="eastAsia" w:ascii="仿宋" w:hAnsi="仿宋" w:eastAsia="仿宋" w:cs="仿宋"/>
          <w:spacing w:val="-12"/>
          <w:sz w:val="32"/>
          <w:szCs w:val="32"/>
        </w:rPr>
        <w:t xml:space="preserve"> 年收入决算表</w:t>
      </w:r>
    </w:p>
    <w:p>
      <w:pPr>
        <w:pStyle w:val="2"/>
        <w:keepNext w:val="0"/>
        <w:keepLines w:val="0"/>
        <w:pageBreakBefore w:val="0"/>
        <w:widowControl w:val="0"/>
        <w:kinsoku/>
        <w:wordWrap/>
        <w:overflowPunct/>
        <w:topLinePunct w:val="0"/>
        <w:autoSpaceDE w:val="0"/>
        <w:autoSpaceDN w:val="0"/>
        <w:bidi w:val="0"/>
        <w:adjustRightInd/>
        <w:snapToGrid/>
        <w:spacing w:before="2" w:line="20" w:lineRule="atLeast"/>
        <w:ind w:left="232"/>
        <w:textAlignment w:val="auto"/>
        <w:rPr>
          <w:rFonts w:hint="eastAsia" w:ascii="仿宋" w:hAnsi="仿宋" w:eastAsia="仿宋" w:cs="仿宋"/>
          <w:spacing w:val="-12"/>
          <w:sz w:val="32"/>
          <w:szCs w:val="32"/>
        </w:rPr>
      </w:pPr>
      <w:r>
        <w:rPr>
          <w:rFonts w:hint="eastAsia" w:ascii="仿宋" w:hAnsi="仿宋" w:eastAsia="仿宋" w:cs="仿宋"/>
          <w:sz w:val="32"/>
          <w:szCs w:val="32"/>
        </w:rPr>
        <w:t>三、20</w:t>
      </w:r>
      <w:r>
        <w:rPr>
          <w:rFonts w:hint="eastAsia" w:ascii="仿宋" w:hAnsi="仿宋" w:eastAsia="仿宋" w:cs="仿宋"/>
          <w:sz w:val="32"/>
          <w:szCs w:val="32"/>
          <w:lang w:val="en-US" w:eastAsia="zh-CN"/>
        </w:rPr>
        <w:t>2</w:t>
      </w:r>
      <w:r>
        <w:rPr>
          <w:rFonts w:hint="eastAsia" w:cs="仿宋"/>
          <w:sz w:val="32"/>
          <w:szCs w:val="32"/>
          <w:lang w:val="en-US" w:eastAsia="zh-CN"/>
        </w:rPr>
        <w:t>1</w:t>
      </w:r>
      <w:r>
        <w:rPr>
          <w:rFonts w:hint="eastAsia" w:ascii="仿宋" w:hAnsi="仿宋" w:eastAsia="仿宋" w:cs="仿宋"/>
          <w:spacing w:val="-12"/>
          <w:sz w:val="32"/>
          <w:szCs w:val="32"/>
        </w:rPr>
        <w:t>年支出决算表</w:t>
      </w:r>
    </w:p>
    <w:p>
      <w:pPr>
        <w:pStyle w:val="2"/>
        <w:keepNext w:val="0"/>
        <w:keepLines w:val="0"/>
        <w:pageBreakBefore w:val="0"/>
        <w:widowControl w:val="0"/>
        <w:kinsoku/>
        <w:wordWrap/>
        <w:overflowPunct/>
        <w:topLinePunct w:val="0"/>
        <w:autoSpaceDE w:val="0"/>
        <w:autoSpaceDN w:val="0"/>
        <w:bidi w:val="0"/>
        <w:adjustRightInd/>
        <w:snapToGrid/>
        <w:spacing w:before="2" w:line="20" w:lineRule="atLeast"/>
        <w:ind w:left="232"/>
        <w:textAlignment w:val="auto"/>
        <w:rPr>
          <w:rFonts w:hint="eastAsia" w:ascii="仿宋" w:hAnsi="仿宋" w:eastAsia="仿宋" w:cs="仿宋"/>
          <w:sz w:val="32"/>
          <w:szCs w:val="32"/>
        </w:rPr>
      </w:pPr>
      <w:r>
        <w:rPr>
          <w:rFonts w:hint="eastAsia" w:ascii="仿宋" w:hAnsi="仿宋" w:eastAsia="仿宋" w:cs="仿宋"/>
          <w:sz w:val="32"/>
          <w:szCs w:val="32"/>
        </w:rPr>
        <w:t>四、20</w:t>
      </w:r>
      <w:r>
        <w:rPr>
          <w:rFonts w:hint="eastAsia" w:ascii="仿宋" w:hAnsi="仿宋" w:eastAsia="仿宋" w:cs="仿宋"/>
          <w:sz w:val="32"/>
          <w:szCs w:val="32"/>
          <w:lang w:val="en-US" w:eastAsia="zh-CN"/>
        </w:rPr>
        <w:t>2</w:t>
      </w:r>
      <w:r>
        <w:rPr>
          <w:rFonts w:hint="eastAsia" w:cs="仿宋"/>
          <w:sz w:val="32"/>
          <w:szCs w:val="32"/>
          <w:lang w:val="en-US" w:eastAsia="zh-CN"/>
        </w:rPr>
        <w:t>1</w:t>
      </w:r>
      <w:r>
        <w:rPr>
          <w:rFonts w:hint="eastAsia" w:ascii="仿宋" w:hAnsi="仿宋" w:eastAsia="仿宋" w:cs="仿宋"/>
          <w:sz w:val="32"/>
          <w:szCs w:val="32"/>
        </w:rPr>
        <w:t>年财政拨款收入支出决算总表</w:t>
      </w:r>
    </w:p>
    <w:p>
      <w:pPr>
        <w:pStyle w:val="2"/>
        <w:keepNext w:val="0"/>
        <w:keepLines w:val="0"/>
        <w:pageBreakBefore w:val="0"/>
        <w:widowControl w:val="0"/>
        <w:kinsoku/>
        <w:wordWrap/>
        <w:overflowPunct/>
        <w:topLinePunct w:val="0"/>
        <w:autoSpaceDE w:val="0"/>
        <w:autoSpaceDN w:val="0"/>
        <w:bidi w:val="0"/>
        <w:adjustRightInd/>
        <w:snapToGrid/>
        <w:spacing w:before="2" w:line="20" w:lineRule="atLeast"/>
        <w:ind w:left="232"/>
        <w:textAlignment w:val="auto"/>
        <w:rPr>
          <w:rFonts w:hint="eastAsia" w:ascii="仿宋" w:hAnsi="仿宋" w:eastAsia="仿宋" w:cs="仿宋"/>
          <w:spacing w:val="-15"/>
          <w:sz w:val="32"/>
          <w:szCs w:val="32"/>
        </w:rPr>
      </w:pPr>
      <w:r>
        <w:rPr>
          <w:rFonts w:hint="eastAsia" w:ascii="仿宋" w:hAnsi="仿宋" w:eastAsia="仿宋" w:cs="仿宋"/>
          <w:sz w:val="32"/>
          <w:szCs w:val="32"/>
        </w:rPr>
        <w:t>五、20</w:t>
      </w:r>
      <w:r>
        <w:rPr>
          <w:rFonts w:hint="eastAsia" w:ascii="仿宋" w:hAnsi="仿宋" w:eastAsia="仿宋" w:cs="仿宋"/>
          <w:sz w:val="32"/>
          <w:szCs w:val="32"/>
          <w:lang w:val="en-US" w:eastAsia="zh-CN"/>
        </w:rPr>
        <w:t>2</w:t>
      </w:r>
      <w:r>
        <w:rPr>
          <w:rFonts w:hint="eastAsia" w:cs="仿宋"/>
          <w:sz w:val="32"/>
          <w:szCs w:val="32"/>
          <w:lang w:val="en-US" w:eastAsia="zh-CN"/>
        </w:rPr>
        <w:t>1</w:t>
      </w:r>
      <w:r>
        <w:rPr>
          <w:rFonts w:hint="eastAsia" w:ascii="仿宋" w:hAnsi="仿宋" w:eastAsia="仿宋" w:cs="仿宋"/>
          <w:spacing w:val="-10"/>
          <w:sz w:val="32"/>
          <w:szCs w:val="32"/>
        </w:rPr>
        <w:t xml:space="preserve"> 年一般公共预算财政拨款支出决算表</w:t>
      </w:r>
      <w:r>
        <w:rPr>
          <w:rFonts w:hint="eastAsia" w:ascii="仿宋" w:hAnsi="仿宋" w:eastAsia="仿宋" w:cs="仿宋"/>
          <w:sz w:val="32"/>
          <w:szCs w:val="32"/>
        </w:rPr>
        <w:t>（一</w:t>
      </w:r>
      <w:r>
        <w:rPr>
          <w:rFonts w:hint="eastAsia" w:ascii="仿宋" w:hAnsi="仿宋" w:eastAsia="仿宋" w:cs="仿宋"/>
          <w:spacing w:val="-15"/>
          <w:sz w:val="32"/>
          <w:szCs w:val="32"/>
        </w:rPr>
        <w:t>）</w:t>
      </w:r>
    </w:p>
    <w:p>
      <w:pPr>
        <w:pStyle w:val="2"/>
        <w:keepNext w:val="0"/>
        <w:keepLines w:val="0"/>
        <w:pageBreakBefore w:val="0"/>
        <w:widowControl w:val="0"/>
        <w:kinsoku/>
        <w:wordWrap/>
        <w:overflowPunct/>
        <w:topLinePunct w:val="0"/>
        <w:autoSpaceDE w:val="0"/>
        <w:autoSpaceDN w:val="0"/>
        <w:bidi w:val="0"/>
        <w:adjustRightInd/>
        <w:snapToGrid/>
        <w:spacing w:before="2" w:line="20" w:lineRule="atLeast"/>
        <w:ind w:left="232"/>
        <w:textAlignment w:val="auto"/>
        <w:rPr>
          <w:rFonts w:hint="eastAsia" w:ascii="仿宋" w:hAnsi="仿宋" w:eastAsia="仿宋" w:cs="仿宋"/>
          <w:sz w:val="32"/>
          <w:szCs w:val="32"/>
        </w:rPr>
      </w:pPr>
      <w:r>
        <w:rPr>
          <w:rFonts w:hint="eastAsia" w:ascii="仿宋" w:hAnsi="仿宋" w:eastAsia="仿宋" w:cs="仿宋"/>
          <w:sz w:val="32"/>
          <w:szCs w:val="32"/>
        </w:rPr>
        <w:t>六、20</w:t>
      </w:r>
      <w:r>
        <w:rPr>
          <w:rFonts w:hint="eastAsia" w:ascii="仿宋" w:hAnsi="仿宋" w:eastAsia="仿宋" w:cs="仿宋"/>
          <w:sz w:val="32"/>
          <w:szCs w:val="32"/>
          <w:lang w:val="en-US" w:eastAsia="zh-CN"/>
        </w:rPr>
        <w:t>2</w:t>
      </w:r>
      <w:r>
        <w:rPr>
          <w:rFonts w:hint="eastAsia" w:cs="仿宋"/>
          <w:sz w:val="32"/>
          <w:szCs w:val="32"/>
          <w:lang w:val="en-US" w:eastAsia="zh-CN"/>
        </w:rPr>
        <w:t>1</w:t>
      </w:r>
      <w:r>
        <w:rPr>
          <w:rFonts w:hint="eastAsia" w:ascii="仿宋" w:hAnsi="仿宋" w:eastAsia="仿宋" w:cs="仿宋"/>
          <w:spacing w:val="-10"/>
          <w:sz w:val="32"/>
          <w:szCs w:val="32"/>
        </w:rPr>
        <w:t xml:space="preserve"> 年一般公共预算财政拨款支出决算表</w:t>
      </w:r>
      <w:r>
        <w:rPr>
          <w:rFonts w:hint="eastAsia" w:ascii="仿宋" w:hAnsi="仿宋" w:eastAsia="仿宋" w:cs="仿宋"/>
          <w:sz w:val="32"/>
          <w:szCs w:val="32"/>
        </w:rPr>
        <w:t>（二</w:t>
      </w:r>
      <w:r>
        <w:rPr>
          <w:rFonts w:hint="eastAsia" w:ascii="仿宋" w:hAnsi="仿宋" w:eastAsia="仿宋" w:cs="仿宋"/>
          <w:spacing w:val="-15"/>
          <w:sz w:val="32"/>
          <w:szCs w:val="32"/>
        </w:rPr>
        <w:t>）</w:t>
      </w:r>
    </w:p>
    <w:p>
      <w:pPr>
        <w:pStyle w:val="2"/>
        <w:keepNext w:val="0"/>
        <w:keepLines w:val="0"/>
        <w:pageBreakBefore w:val="0"/>
        <w:widowControl w:val="0"/>
        <w:kinsoku/>
        <w:wordWrap/>
        <w:overflowPunct/>
        <w:topLinePunct w:val="0"/>
        <w:autoSpaceDE w:val="0"/>
        <w:autoSpaceDN w:val="0"/>
        <w:bidi w:val="0"/>
        <w:adjustRightInd/>
        <w:snapToGrid/>
        <w:spacing w:before="2" w:line="20" w:lineRule="atLeast"/>
        <w:ind w:left="232" w:right="394"/>
        <w:textAlignment w:val="auto"/>
        <w:rPr>
          <w:rFonts w:hint="eastAsia" w:ascii="仿宋" w:hAnsi="仿宋" w:eastAsia="仿宋" w:cs="仿宋"/>
          <w:spacing w:val="-11"/>
          <w:sz w:val="32"/>
          <w:szCs w:val="32"/>
        </w:rPr>
      </w:pPr>
      <w:r>
        <w:rPr>
          <w:rFonts w:hint="eastAsia" w:ascii="仿宋" w:hAnsi="仿宋" w:eastAsia="仿宋" w:cs="仿宋"/>
          <w:sz w:val="32"/>
          <w:szCs w:val="32"/>
        </w:rPr>
        <w:t>七、20</w:t>
      </w:r>
      <w:r>
        <w:rPr>
          <w:rFonts w:hint="eastAsia" w:ascii="仿宋" w:hAnsi="仿宋" w:eastAsia="仿宋" w:cs="仿宋"/>
          <w:sz w:val="32"/>
          <w:szCs w:val="32"/>
          <w:lang w:val="en-US" w:eastAsia="zh-CN"/>
        </w:rPr>
        <w:t>2</w:t>
      </w:r>
      <w:r>
        <w:rPr>
          <w:rFonts w:hint="eastAsia" w:cs="仿宋"/>
          <w:sz w:val="32"/>
          <w:szCs w:val="32"/>
          <w:lang w:val="en-US" w:eastAsia="zh-CN"/>
        </w:rPr>
        <w:t>1</w:t>
      </w:r>
      <w:r>
        <w:rPr>
          <w:rFonts w:hint="eastAsia" w:ascii="仿宋" w:hAnsi="仿宋" w:eastAsia="仿宋" w:cs="仿宋"/>
          <w:spacing w:val="-11"/>
          <w:sz w:val="32"/>
          <w:szCs w:val="32"/>
        </w:rPr>
        <w:t xml:space="preserve"> 年一般公共预算财政拨款“三公”经费支出决算表</w:t>
      </w:r>
    </w:p>
    <w:p>
      <w:pPr>
        <w:pStyle w:val="2"/>
        <w:keepNext w:val="0"/>
        <w:keepLines w:val="0"/>
        <w:pageBreakBefore w:val="0"/>
        <w:widowControl w:val="0"/>
        <w:kinsoku/>
        <w:wordWrap/>
        <w:overflowPunct/>
        <w:topLinePunct w:val="0"/>
        <w:autoSpaceDE w:val="0"/>
        <w:autoSpaceDN w:val="0"/>
        <w:bidi w:val="0"/>
        <w:adjustRightInd/>
        <w:snapToGrid/>
        <w:spacing w:before="2" w:line="20" w:lineRule="atLeast"/>
        <w:ind w:left="232" w:right="394"/>
        <w:textAlignment w:val="auto"/>
        <w:rPr>
          <w:rFonts w:hint="eastAsia" w:ascii="仿宋" w:hAnsi="仿宋" w:eastAsia="仿宋" w:cs="仿宋"/>
          <w:sz w:val="32"/>
          <w:szCs w:val="32"/>
        </w:rPr>
      </w:pPr>
      <w:r>
        <w:rPr>
          <w:rFonts w:hint="eastAsia" w:ascii="仿宋" w:hAnsi="仿宋" w:eastAsia="仿宋" w:cs="仿宋"/>
          <w:sz w:val="32"/>
          <w:szCs w:val="32"/>
        </w:rPr>
        <w:t>八、20</w:t>
      </w:r>
      <w:r>
        <w:rPr>
          <w:rFonts w:hint="eastAsia" w:ascii="仿宋" w:hAnsi="仿宋" w:eastAsia="仿宋" w:cs="仿宋"/>
          <w:sz w:val="32"/>
          <w:szCs w:val="32"/>
          <w:lang w:val="en-US" w:eastAsia="zh-CN"/>
        </w:rPr>
        <w:t>2</w:t>
      </w:r>
      <w:r>
        <w:rPr>
          <w:rFonts w:hint="eastAsia" w:cs="仿宋"/>
          <w:sz w:val="32"/>
          <w:szCs w:val="32"/>
          <w:lang w:val="en-US" w:eastAsia="zh-CN"/>
        </w:rPr>
        <w:t>1</w:t>
      </w:r>
      <w:r>
        <w:rPr>
          <w:rFonts w:hint="eastAsia" w:ascii="仿宋" w:hAnsi="仿宋" w:eastAsia="仿宋" w:cs="仿宋"/>
          <w:spacing w:val="-10"/>
          <w:sz w:val="32"/>
          <w:szCs w:val="32"/>
        </w:rPr>
        <w:t xml:space="preserve"> 年政府性基金预算财政拨款收入支出决算表</w:t>
      </w:r>
    </w:p>
    <w:p>
      <w:pPr>
        <w:pStyle w:val="2"/>
        <w:keepNext w:val="0"/>
        <w:keepLines w:val="0"/>
        <w:pageBreakBefore w:val="0"/>
        <w:widowControl w:val="0"/>
        <w:kinsoku/>
        <w:wordWrap/>
        <w:overflowPunct/>
        <w:topLinePunct w:val="0"/>
        <w:autoSpaceDE w:val="0"/>
        <w:autoSpaceDN w:val="0"/>
        <w:bidi w:val="0"/>
        <w:adjustRightInd/>
        <w:snapToGrid/>
        <w:spacing w:before="2" w:line="20" w:lineRule="atLeast"/>
        <w:ind w:left="232"/>
        <w:textAlignment w:val="auto"/>
        <w:rPr>
          <w:rFonts w:hint="default" w:ascii="仿宋" w:hAnsi="仿宋" w:eastAsia="仿宋" w:cs="仿宋"/>
          <w:sz w:val="32"/>
          <w:szCs w:val="32"/>
          <w:lang w:val="en-US" w:eastAsia="zh-CN"/>
        </w:rPr>
      </w:pPr>
      <w:r>
        <w:rPr>
          <w:rFonts w:hint="eastAsia" w:ascii="仿宋" w:hAnsi="仿宋" w:eastAsia="仿宋" w:cs="仿宋"/>
          <w:sz w:val="32"/>
          <w:szCs w:val="32"/>
        </w:rPr>
        <w:t>九</w:t>
      </w:r>
      <w:r>
        <w:rPr>
          <w:rFonts w:hint="eastAsia" w:cs="仿宋"/>
          <w:sz w:val="32"/>
          <w:szCs w:val="32"/>
          <w:lang w:eastAsia="zh-CN"/>
        </w:rPr>
        <w:t>、</w:t>
      </w:r>
      <w:r>
        <w:rPr>
          <w:rFonts w:hint="eastAsia" w:cs="仿宋"/>
          <w:sz w:val="32"/>
          <w:szCs w:val="32"/>
          <w:lang w:val="en-US" w:eastAsia="zh-CN"/>
        </w:rPr>
        <w:t>2021 年国有资本经营预算财政拨款支出决算表</w:t>
      </w:r>
    </w:p>
    <w:p>
      <w:pPr>
        <w:pStyle w:val="2"/>
        <w:keepNext w:val="0"/>
        <w:keepLines w:val="0"/>
        <w:pageBreakBefore w:val="0"/>
        <w:widowControl w:val="0"/>
        <w:kinsoku/>
        <w:wordWrap/>
        <w:overflowPunct/>
        <w:topLinePunct w:val="0"/>
        <w:autoSpaceDE w:val="0"/>
        <w:autoSpaceDN w:val="0"/>
        <w:bidi w:val="0"/>
        <w:adjustRightInd/>
        <w:snapToGrid/>
        <w:spacing w:before="2" w:line="20" w:lineRule="atLeast"/>
        <w:ind w:left="232"/>
        <w:textAlignment w:val="auto"/>
        <w:rPr>
          <w:rFonts w:hint="eastAsia" w:ascii="楷体" w:eastAsia="楷体"/>
        </w:rPr>
      </w:pPr>
      <w:r>
        <w:rPr>
          <w:rFonts w:hint="eastAsia" w:cs="仿宋"/>
          <w:sz w:val="32"/>
          <w:szCs w:val="32"/>
          <w:lang w:eastAsia="zh-CN"/>
        </w:rPr>
        <w:t>十</w:t>
      </w:r>
      <w:r>
        <w:rPr>
          <w:rFonts w:hint="eastAsia" w:ascii="仿宋" w:hAnsi="仿宋" w:eastAsia="仿宋" w:cs="仿宋"/>
          <w:sz w:val="32"/>
          <w:szCs w:val="32"/>
        </w:rPr>
        <w:t>、20</w:t>
      </w:r>
      <w:r>
        <w:rPr>
          <w:rFonts w:hint="eastAsia" w:ascii="仿宋" w:hAnsi="仿宋" w:eastAsia="仿宋" w:cs="仿宋"/>
          <w:sz w:val="32"/>
          <w:szCs w:val="32"/>
          <w:lang w:val="en-US" w:eastAsia="zh-CN"/>
        </w:rPr>
        <w:t>2</w:t>
      </w:r>
      <w:r>
        <w:rPr>
          <w:rFonts w:hint="eastAsia" w:cs="仿宋"/>
          <w:sz w:val="32"/>
          <w:szCs w:val="32"/>
          <w:lang w:val="en-US" w:eastAsia="zh-CN"/>
        </w:rPr>
        <w:t>1</w:t>
      </w:r>
      <w:r>
        <w:rPr>
          <w:rFonts w:hint="eastAsia" w:ascii="仿宋" w:hAnsi="仿宋" w:eastAsia="仿宋" w:cs="仿宋"/>
          <w:sz w:val="32"/>
          <w:szCs w:val="32"/>
        </w:rPr>
        <w:t xml:space="preserve"> 年部门决算公开相关信息统计表</w:t>
      </w:r>
    </w:p>
    <w:p>
      <w:pPr>
        <w:pStyle w:val="2"/>
        <w:spacing w:before="7"/>
        <w:rPr>
          <w:rFonts w:ascii="楷体"/>
          <w:sz w:val="38"/>
        </w:rPr>
      </w:pPr>
    </w:p>
    <w:p>
      <w:pPr>
        <w:pStyle w:val="2"/>
        <w:tabs>
          <w:tab w:val="left" w:pos="1762"/>
        </w:tabs>
        <w:spacing w:before="1"/>
        <w:ind w:right="38"/>
        <w:jc w:val="center"/>
        <w:rPr>
          <w:rFonts w:hint="eastAsia" w:ascii="黑体" w:eastAsia="黑体"/>
        </w:rPr>
      </w:pPr>
      <w:r>
        <w:rPr>
          <w:rFonts w:hint="eastAsia" w:ascii="黑体" w:eastAsia="黑体"/>
        </w:rPr>
        <w:t>第三部分</w:t>
      </w:r>
      <w:r>
        <w:rPr>
          <w:rFonts w:hint="eastAsia" w:ascii="黑体" w:eastAsia="黑体"/>
        </w:rPr>
        <w:tab/>
      </w:r>
      <w:r>
        <w:rPr>
          <w:rFonts w:hint="eastAsia" w:ascii="黑体" w:eastAsia="黑体"/>
        </w:rPr>
        <w:t>20</w:t>
      </w:r>
      <w:r>
        <w:rPr>
          <w:rFonts w:hint="eastAsia" w:ascii="黑体" w:eastAsia="黑体"/>
          <w:lang w:val="en-US" w:eastAsia="zh-CN"/>
        </w:rPr>
        <w:t>21</w:t>
      </w:r>
      <w:r>
        <w:rPr>
          <w:rFonts w:hint="eastAsia" w:ascii="黑体" w:eastAsia="黑体"/>
          <w:spacing w:val="-81"/>
        </w:rPr>
        <w:t xml:space="preserve"> </w:t>
      </w:r>
      <w:r>
        <w:rPr>
          <w:rFonts w:hint="eastAsia" w:ascii="黑体" w:eastAsia="黑体"/>
        </w:rPr>
        <w:t>年度部门决算情况说明</w:t>
      </w:r>
    </w:p>
    <w:p>
      <w:pPr>
        <w:pStyle w:val="2"/>
        <w:rPr>
          <w:rFonts w:hint="eastAsia" w:ascii="楷体" w:eastAsia="楷体"/>
        </w:rPr>
      </w:pPr>
    </w:p>
    <w:p>
      <w:pPr>
        <w:pStyle w:val="2"/>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firstLine="640" w:firstLineChars="200"/>
        <w:textAlignment w:val="auto"/>
        <w:rPr>
          <w:rFonts w:hint="eastAsia" w:ascii="楷体" w:eastAsia="楷体"/>
        </w:rPr>
      </w:pPr>
      <w:r>
        <w:rPr>
          <w:rFonts w:hint="eastAsia" w:ascii="楷体" w:eastAsia="楷体"/>
        </w:rPr>
        <w:t>一、20</w:t>
      </w:r>
      <w:r>
        <w:rPr>
          <w:rFonts w:hint="eastAsia" w:ascii="楷体" w:eastAsia="楷体"/>
          <w:lang w:val="en-US" w:eastAsia="zh-CN"/>
        </w:rPr>
        <w:t>21</w:t>
      </w:r>
      <w:r>
        <w:rPr>
          <w:rFonts w:hint="eastAsia" w:ascii="楷体" w:eastAsia="楷体"/>
        </w:rPr>
        <w:t xml:space="preserve"> 年度收入支出决算总体情况说明</w:t>
      </w:r>
    </w:p>
    <w:p>
      <w:pPr>
        <w:pStyle w:val="2"/>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right="232" w:firstLine="640" w:firstLineChars="200"/>
        <w:jc w:val="left"/>
        <w:textAlignment w:val="auto"/>
        <w:rPr>
          <w:rFonts w:hint="eastAsia" w:eastAsia="仿宋" w:cs="仿宋"/>
          <w:spacing w:val="-18"/>
          <w:lang w:eastAsia="zh-CN"/>
        </w:rPr>
      </w:pPr>
      <w:r>
        <w:rPr>
          <w:rFonts w:hint="eastAsia" w:ascii="仿宋" w:hAnsi="仿宋" w:eastAsia="仿宋" w:cs="仿宋"/>
        </w:rPr>
        <w:t>20</w:t>
      </w:r>
      <w:r>
        <w:rPr>
          <w:rFonts w:hint="eastAsia" w:cs="仿宋"/>
          <w:lang w:val="en-US" w:eastAsia="zh-CN"/>
        </w:rPr>
        <w:t>20</w:t>
      </w:r>
      <w:r>
        <w:rPr>
          <w:rFonts w:hint="eastAsia" w:ascii="仿宋" w:hAnsi="仿宋" w:eastAsia="仿宋" w:cs="仿宋"/>
          <w:spacing w:val="-18"/>
        </w:rPr>
        <w:t>年度收支决算总计</w:t>
      </w:r>
      <w:r>
        <w:rPr>
          <w:rFonts w:hint="eastAsia" w:cs="仿宋"/>
          <w:spacing w:val="-18"/>
          <w:lang w:val="en-US" w:eastAsia="zh-CN"/>
        </w:rPr>
        <w:t>172.4</w:t>
      </w:r>
      <w:r>
        <w:rPr>
          <w:rFonts w:hint="eastAsia" w:ascii="仿宋" w:hAnsi="仿宋" w:eastAsia="仿宋" w:cs="仿宋"/>
          <w:spacing w:val="-28"/>
        </w:rPr>
        <w:t xml:space="preserve">万元，与 </w:t>
      </w:r>
      <w:r>
        <w:rPr>
          <w:rFonts w:hint="eastAsia" w:ascii="仿宋" w:hAnsi="仿宋" w:eastAsia="仿宋" w:cs="仿宋"/>
        </w:rPr>
        <w:t>20</w:t>
      </w:r>
      <w:r>
        <w:rPr>
          <w:rFonts w:hint="eastAsia" w:cs="仿宋"/>
          <w:lang w:val="en-US" w:eastAsia="zh-CN"/>
        </w:rPr>
        <w:t>20</w:t>
      </w:r>
      <w:r>
        <w:rPr>
          <w:rFonts w:hint="eastAsia" w:ascii="仿宋" w:hAnsi="仿宋" w:eastAsia="仿宋" w:cs="仿宋"/>
          <w:spacing w:val="-17"/>
        </w:rPr>
        <w:t xml:space="preserve"> 年相比</w:t>
      </w:r>
      <w:r>
        <w:rPr>
          <w:rFonts w:hint="eastAsia" w:cs="仿宋"/>
          <w:spacing w:val="-28"/>
          <w:lang w:eastAsia="zh-CN"/>
        </w:rPr>
        <w:t>减少</w:t>
      </w:r>
      <w:r>
        <w:rPr>
          <w:rFonts w:hint="eastAsia" w:cs="仿宋"/>
          <w:spacing w:val="-28"/>
          <w:lang w:val="en-US" w:eastAsia="zh-CN"/>
        </w:rPr>
        <w:t>21</w:t>
      </w:r>
      <w:r>
        <w:rPr>
          <w:rFonts w:hint="eastAsia" w:ascii="仿宋" w:hAnsi="仿宋" w:eastAsia="仿宋" w:cs="仿宋"/>
          <w:spacing w:val="-27"/>
        </w:rPr>
        <w:t>万元，</w:t>
      </w:r>
      <w:r>
        <w:rPr>
          <w:rFonts w:hint="eastAsia" w:cs="仿宋"/>
          <w:spacing w:val="-27"/>
          <w:lang w:eastAsia="zh-CN"/>
        </w:rPr>
        <w:t>减少</w:t>
      </w:r>
      <w:r>
        <w:rPr>
          <w:rFonts w:hint="eastAsia" w:cs="仿宋"/>
          <w:spacing w:val="-27"/>
          <w:lang w:val="en-US" w:eastAsia="zh-CN"/>
        </w:rPr>
        <w:t>10.8</w:t>
      </w:r>
      <w:r>
        <w:rPr>
          <w:rFonts w:hint="eastAsia" w:ascii="仿宋" w:hAnsi="仿宋" w:eastAsia="仿宋" w:cs="仿宋"/>
          <w:spacing w:val="-14"/>
        </w:rPr>
        <w:t>％。主要原因是</w:t>
      </w:r>
      <w:r>
        <w:rPr>
          <w:rFonts w:hint="eastAsia" w:cs="仿宋"/>
          <w:spacing w:val="-14"/>
          <w:lang w:val="en-US" w:eastAsia="zh-CN"/>
        </w:rPr>
        <w:t>2021年年初预算比2020年减少</w:t>
      </w:r>
      <w:r>
        <w:rPr>
          <w:rFonts w:hint="eastAsia" w:cs="仿宋"/>
          <w:spacing w:val="-14"/>
          <w:lang w:eastAsia="zh-CN"/>
        </w:rPr>
        <w:t>。</w:t>
      </w:r>
    </w:p>
    <w:p>
      <w:pPr>
        <w:pStyle w:val="2"/>
        <w:keepNext w:val="0"/>
        <w:keepLines w:val="0"/>
        <w:pageBreakBefore w:val="0"/>
        <w:widowControl w:val="0"/>
        <w:kinsoku/>
        <w:wordWrap/>
        <w:overflowPunct/>
        <w:topLinePunct w:val="0"/>
        <w:autoSpaceDE w:val="0"/>
        <w:autoSpaceDN w:val="0"/>
        <w:bidi w:val="0"/>
        <w:adjustRightInd/>
        <w:snapToGrid/>
        <w:spacing w:before="1" w:line="360" w:lineRule="auto"/>
        <w:ind w:right="232" w:firstLine="640" w:firstLineChars="200"/>
        <w:jc w:val="left"/>
        <w:textAlignment w:val="auto"/>
      </w:pPr>
      <w:r>
        <w:rPr>
          <w:rFonts w:hint="eastAsia" w:ascii="楷体" w:eastAsia="楷体"/>
        </w:rPr>
        <w:t>二、20</w:t>
      </w:r>
      <w:r>
        <w:rPr>
          <w:rFonts w:hint="eastAsia" w:ascii="楷体" w:eastAsia="楷体"/>
          <w:lang w:val="en-US" w:eastAsia="zh-CN"/>
        </w:rPr>
        <w:t>21</w:t>
      </w:r>
      <w:r>
        <w:rPr>
          <w:rFonts w:hint="eastAsia" w:ascii="楷体" w:eastAsia="楷体"/>
        </w:rPr>
        <w:t xml:space="preserve"> 年度收入决算情况说明</w:t>
      </w:r>
    </w:p>
    <w:p>
      <w:pPr>
        <w:pStyle w:val="2"/>
        <w:keepNext w:val="0"/>
        <w:keepLines w:val="0"/>
        <w:pageBreakBefore w:val="0"/>
        <w:widowControl w:val="0"/>
        <w:kinsoku/>
        <w:wordWrap/>
        <w:overflowPunct/>
        <w:topLinePunct w:val="0"/>
        <w:autoSpaceDE w:val="0"/>
        <w:autoSpaceDN w:val="0"/>
        <w:bidi w:val="0"/>
        <w:adjustRightInd/>
        <w:snapToGrid/>
        <w:spacing w:before="214" w:line="360" w:lineRule="auto"/>
        <w:ind w:firstLine="640" w:firstLineChars="200"/>
        <w:textAlignment w:val="auto"/>
      </w:pPr>
      <w:r>
        <w:t>本年收入合计</w:t>
      </w:r>
      <w:r>
        <w:rPr>
          <w:rFonts w:hint="eastAsia"/>
          <w:lang w:val="en-US" w:eastAsia="zh-CN"/>
        </w:rPr>
        <w:t>172.4</w:t>
      </w:r>
      <w:r>
        <w:t>万元，其中：财政拨款收入</w:t>
      </w:r>
      <w:r>
        <w:rPr>
          <w:rFonts w:hint="eastAsia"/>
          <w:lang w:val="en-US" w:eastAsia="zh-CN"/>
        </w:rPr>
        <w:t>169.2</w:t>
      </w:r>
      <w:r>
        <w:t>万元，占比</w:t>
      </w:r>
      <w:r>
        <w:rPr>
          <w:rFonts w:hint="eastAsia"/>
          <w:lang w:val="en-US" w:eastAsia="zh-CN"/>
        </w:rPr>
        <w:t>98</w:t>
      </w:r>
      <w:r>
        <w:t>％。</w:t>
      </w:r>
    </w:p>
    <w:p>
      <w:pPr>
        <w:pStyle w:val="2"/>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firstLine="640" w:firstLineChars="200"/>
        <w:textAlignment w:val="auto"/>
        <w:rPr>
          <w:rFonts w:hint="eastAsia" w:ascii="楷体" w:eastAsia="楷体"/>
        </w:rPr>
      </w:pPr>
      <w:r>
        <w:rPr>
          <w:rFonts w:hint="eastAsia" w:ascii="楷体" w:eastAsia="楷体"/>
        </w:rPr>
        <w:t>三、20</w:t>
      </w:r>
      <w:r>
        <w:rPr>
          <w:rFonts w:hint="eastAsia" w:ascii="楷体" w:eastAsia="楷体"/>
          <w:lang w:val="en-US" w:eastAsia="zh-CN"/>
        </w:rPr>
        <w:t>21</w:t>
      </w:r>
      <w:r>
        <w:rPr>
          <w:rFonts w:hint="eastAsia" w:ascii="楷体" w:eastAsia="楷体"/>
        </w:rPr>
        <w:t xml:space="preserve"> 年度支出决算情况说明</w:t>
      </w:r>
    </w:p>
    <w:p>
      <w:pPr>
        <w:pStyle w:val="2"/>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firstLine="592" w:firstLineChars="200"/>
        <w:textAlignment w:val="auto"/>
      </w:pPr>
      <w:r>
        <w:rPr>
          <w:spacing w:val="-12"/>
        </w:rPr>
        <w:t>本年支出合计</w:t>
      </w:r>
      <w:r>
        <w:rPr>
          <w:rFonts w:hint="eastAsia"/>
          <w:spacing w:val="-12"/>
          <w:lang w:val="en-US" w:eastAsia="zh-CN"/>
        </w:rPr>
        <w:t>172.3</w:t>
      </w:r>
      <w:r>
        <w:rPr>
          <w:spacing w:val="-38"/>
        </w:rPr>
        <w:t>万元，其中：基本支出</w:t>
      </w:r>
      <w:r>
        <w:rPr>
          <w:rFonts w:hint="eastAsia"/>
          <w:spacing w:val="-38"/>
          <w:lang w:val="en-US" w:eastAsia="zh-CN"/>
        </w:rPr>
        <w:t>159.8</w:t>
      </w:r>
      <w:r>
        <w:rPr>
          <w:spacing w:val="-22"/>
        </w:rPr>
        <w:t xml:space="preserve">万元， </w:t>
      </w:r>
      <w:r>
        <w:rPr>
          <w:spacing w:val="-44"/>
        </w:rPr>
        <w:t>占比</w:t>
      </w:r>
      <w:r>
        <w:rPr>
          <w:rFonts w:hint="eastAsia"/>
          <w:spacing w:val="-44"/>
          <w:lang w:val="en-US" w:eastAsia="zh-CN"/>
        </w:rPr>
        <w:t>92.7</w:t>
      </w:r>
      <w:r>
        <w:rPr>
          <w:spacing w:val="-13"/>
        </w:rPr>
        <w:t>％；项目支出</w:t>
      </w:r>
      <w:r>
        <w:rPr>
          <w:rFonts w:hint="eastAsia"/>
          <w:spacing w:val="-13"/>
          <w:lang w:val="en-US" w:eastAsia="zh-CN"/>
        </w:rPr>
        <w:t>12.5万元</w:t>
      </w:r>
      <w:r>
        <w:rPr>
          <w:spacing w:val="-22"/>
        </w:rPr>
        <w:t xml:space="preserve">，占比 </w:t>
      </w:r>
      <w:r>
        <w:rPr>
          <w:rFonts w:hint="eastAsia"/>
          <w:spacing w:val="-22"/>
          <w:lang w:val="en-US" w:eastAsia="zh-CN"/>
        </w:rPr>
        <w:t>7.2</w:t>
      </w:r>
      <w:r>
        <w:rPr>
          <w:spacing w:val="-3"/>
        </w:rPr>
        <w:t>％。</w:t>
      </w:r>
    </w:p>
    <w:p>
      <w:pPr>
        <w:pStyle w:val="2"/>
        <w:spacing w:before="281"/>
        <w:ind w:firstLine="640" w:firstLineChars="200"/>
        <w:rPr>
          <w:rFonts w:hint="eastAsia" w:ascii="楷体" w:eastAsia="楷体"/>
        </w:rPr>
      </w:pPr>
      <w:r>
        <w:rPr>
          <w:rFonts w:hint="eastAsia" w:ascii="楷体" w:eastAsia="楷体"/>
        </w:rPr>
        <w:t>四、20</w:t>
      </w:r>
      <w:r>
        <w:rPr>
          <w:rFonts w:hint="eastAsia" w:ascii="楷体" w:eastAsia="楷体"/>
          <w:lang w:val="en-US" w:eastAsia="zh-CN"/>
        </w:rPr>
        <w:t>21</w:t>
      </w:r>
      <w:r>
        <w:rPr>
          <w:rFonts w:hint="eastAsia" w:ascii="楷体" w:eastAsia="楷体"/>
        </w:rPr>
        <w:t xml:space="preserve"> 年度财政拨款收入支出决算总体情况说明</w:t>
      </w:r>
    </w:p>
    <w:p>
      <w:pPr>
        <w:pStyle w:val="2"/>
        <w:spacing w:before="8"/>
        <w:rPr>
          <w:rFonts w:ascii="楷体"/>
          <w:sz w:val="38"/>
        </w:rPr>
      </w:pPr>
    </w:p>
    <w:p>
      <w:pPr>
        <w:pStyle w:val="2"/>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right="232" w:firstLine="640" w:firstLineChars="200"/>
        <w:jc w:val="left"/>
        <w:textAlignment w:val="auto"/>
        <w:rPr>
          <w:rFonts w:hint="eastAsia" w:eastAsia="仿宋" w:cs="仿宋"/>
          <w:spacing w:val="-18"/>
          <w:lang w:eastAsia="zh-CN"/>
        </w:rPr>
      </w:pPr>
      <w:r>
        <w:rPr>
          <w:rFonts w:hint="eastAsia" w:ascii="仿宋" w:hAnsi="仿宋" w:eastAsia="仿宋" w:cs="仿宋"/>
        </w:rPr>
        <w:t>20</w:t>
      </w:r>
      <w:r>
        <w:rPr>
          <w:rFonts w:hint="eastAsia" w:cs="仿宋"/>
          <w:lang w:val="en-US" w:eastAsia="zh-CN"/>
        </w:rPr>
        <w:t>21</w:t>
      </w:r>
      <w:r>
        <w:rPr>
          <w:rFonts w:hint="eastAsia" w:ascii="仿宋" w:hAnsi="仿宋" w:eastAsia="仿宋" w:cs="仿宋"/>
          <w:spacing w:val="-18"/>
        </w:rPr>
        <w:t>年度收支决算总计</w:t>
      </w:r>
      <w:r>
        <w:rPr>
          <w:rFonts w:hint="eastAsia" w:cs="仿宋"/>
          <w:spacing w:val="-18"/>
          <w:lang w:val="en-US" w:eastAsia="zh-CN"/>
        </w:rPr>
        <w:t>172.4</w:t>
      </w:r>
      <w:r>
        <w:rPr>
          <w:rFonts w:hint="eastAsia" w:ascii="仿宋" w:hAnsi="仿宋" w:eastAsia="仿宋" w:cs="仿宋"/>
          <w:spacing w:val="-28"/>
        </w:rPr>
        <w:t xml:space="preserve">万元，与 </w:t>
      </w:r>
      <w:r>
        <w:rPr>
          <w:rFonts w:hint="eastAsia" w:ascii="仿宋" w:hAnsi="仿宋" w:eastAsia="仿宋" w:cs="仿宋"/>
        </w:rPr>
        <w:t>20</w:t>
      </w:r>
      <w:r>
        <w:rPr>
          <w:rFonts w:hint="eastAsia" w:cs="仿宋"/>
          <w:lang w:val="en-US" w:eastAsia="zh-CN"/>
        </w:rPr>
        <w:t>20</w:t>
      </w:r>
      <w:r>
        <w:rPr>
          <w:rFonts w:hint="eastAsia" w:ascii="仿宋" w:hAnsi="仿宋" w:eastAsia="仿宋" w:cs="仿宋"/>
          <w:spacing w:val="-17"/>
        </w:rPr>
        <w:t xml:space="preserve"> 年相比</w:t>
      </w:r>
      <w:r>
        <w:rPr>
          <w:rFonts w:hint="eastAsia" w:cs="仿宋"/>
          <w:spacing w:val="-17"/>
          <w:lang w:eastAsia="zh-CN"/>
        </w:rPr>
        <w:t>减少</w:t>
      </w:r>
      <w:r>
        <w:rPr>
          <w:rFonts w:hint="eastAsia" w:ascii="仿宋" w:hAnsi="仿宋" w:eastAsia="仿宋" w:cs="仿宋"/>
          <w:spacing w:val="-28"/>
        </w:rPr>
        <w:t xml:space="preserve"> </w:t>
      </w:r>
      <w:r>
        <w:rPr>
          <w:rFonts w:hint="eastAsia" w:cs="仿宋"/>
          <w:spacing w:val="-28"/>
          <w:lang w:val="en-US" w:eastAsia="zh-CN"/>
        </w:rPr>
        <w:t>21</w:t>
      </w:r>
      <w:r>
        <w:rPr>
          <w:rFonts w:hint="eastAsia" w:ascii="仿宋" w:hAnsi="仿宋" w:eastAsia="仿宋" w:cs="仿宋"/>
          <w:spacing w:val="-27"/>
        </w:rPr>
        <w:t>万元，</w:t>
      </w:r>
      <w:r>
        <w:rPr>
          <w:rFonts w:hint="eastAsia" w:cs="仿宋"/>
          <w:spacing w:val="-27"/>
          <w:lang w:eastAsia="zh-CN"/>
        </w:rPr>
        <w:t>减少</w:t>
      </w:r>
      <w:r>
        <w:rPr>
          <w:rFonts w:hint="eastAsia" w:cs="仿宋"/>
          <w:spacing w:val="-27"/>
          <w:lang w:val="en-US" w:eastAsia="zh-CN"/>
        </w:rPr>
        <w:t>10.8</w:t>
      </w:r>
      <w:r>
        <w:rPr>
          <w:rFonts w:hint="eastAsia" w:ascii="仿宋" w:hAnsi="仿宋" w:eastAsia="仿宋" w:cs="仿宋"/>
          <w:spacing w:val="-14"/>
        </w:rPr>
        <w:t>％。主要原因是</w:t>
      </w:r>
      <w:r>
        <w:rPr>
          <w:rFonts w:hint="eastAsia" w:cs="仿宋"/>
          <w:spacing w:val="-14"/>
          <w:lang w:val="en-US" w:eastAsia="zh-CN"/>
        </w:rPr>
        <w:t>2021年年初预算比2020年减少</w:t>
      </w:r>
      <w:r>
        <w:rPr>
          <w:rFonts w:hint="eastAsia" w:cs="仿宋"/>
          <w:spacing w:val="-14"/>
          <w:lang w:eastAsia="zh-CN"/>
        </w:rPr>
        <w:t>。</w:t>
      </w:r>
    </w:p>
    <w:p>
      <w:pPr>
        <w:pStyle w:val="2"/>
        <w:spacing w:before="283"/>
        <w:ind w:firstLine="640" w:firstLineChars="200"/>
        <w:rPr>
          <w:rFonts w:hint="eastAsia" w:ascii="楷体" w:eastAsia="楷体"/>
        </w:rPr>
      </w:pPr>
      <w:r>
        <w:rPr>
          <w:rFonts w:hint="eastAsia" w:ascii="楷体" w:eastAsia="楷体"/>
        </w:rPr>
        <w:t>五、20</w:t>
      </w:r>
      <w:r>
        <w:rPr>
          <w:rFonts w:hint="eastAsia" w:ascii="楷体" w:eastAsia="楷体"/>
          <w:lang w:val="en-US" w:eastAsia="zh-CN"/>
        </w:rPr>
        <w:t>21</w:t>
      </w:r>
      <w:r>
        <w:rPr>
          <w:rFonts w:hint="eastAsia" w:ascii="楷体" w:eastAsia="楷体"/>
        </w:rPr>
        <w:t xml:space="preserve"> 年一般公共预算财政拨款支出决算情况说明</w:t>
      </w:r>
    </w:p>
    <w:p>
      <w:pPr>
        <w:pStyle w:val="2"/>
        <w:spacing w:before="6"/>
        <w:rPr>
          <w:rFonts w:ascii="楷体"/>
          <w:sz w:val="38"/>
        </w:rPr>
      </w:pPr>
    </w:p>
    <w:p>
      <w:pPr>
        <w:pStyle w:val="2"/>
        <w:ind w:left="870"/>
      </w:pPr>
      <w:r>
        <w:t>1、一般公共财政拨款支出决算总体情况。</w:t>
      </w:r>
    </w:p>
    <w:p>
      <w:pPr>
        <w:pStyle w:val="2"/>
        <w:spacing w:before="8"/>
        <w:rPr>
          <w:sz w:val="38"/>
        </w:rPr>
      </w:pPr>
    </w:p>
    <w:p>
      <w:pPr>
        <w:pStyle w:val="2"/>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right="232" w:firstLine="640" w:firstLineChars="200"/>
        <w:jc w:val="left"/>
        <w:textAlignment w:val="auto"/>
        <w:rPr>
          <w:rFonts w:hint="eastAsia" w:eastAsia="仿宋" w:cs="仿宋"/>
          <w:spacing w:val="-18"/>
          <w:lang w:eastAsia="zh-CN"/>
        </w:rPr>
      </w:pPr>
      <w:r>
        <w:t>20</w:t>
      </w:r>
      <w:r>
        <w:rPr>
          <w:rFonts w:hint="eastAsia"/>
          <w:lang w:val="en-US" w:eastAsia="zh-CN"/>
        </w:rPr>
        <w:t>21</w:t>
      </w:r>
      <w:r>
        <w:rPr>
          <w:spacing w:val="-15"/>
        </w:rPr>
        <w:t xml:space="preserve"> 年度一般公共预算财政拨款支出</w:t>
      </w:r>
      <w:r>
        <w:rPr>
          <w:rFonts w:hint="eastAsia"/>
          <w:spacing w:val="-15"/>
          <w:lang w:val="en-US" w:eastAsia="zh-CN"/>
        </w:rPr>
        <w:t>169.2</w:t>
      </w:r>
      <w:r>
        <w:rPr>
          <w:spacing w:val="-20"/>
        </w:rPr>
        <w:t>万元。占本</w:t>
      </w:r>
      <w:r>
        <w:rPr>
          <w:spacing w:val="-29"/>
        </w:rPr>
        <w:t xml:space="preserve">年支出合计的 </w:t>
      </w:r>
      <w:r>
        <w:rPr>
          <w:rFonts w:hint="eastAsia"/>
          <w:spacing w:val="-29"/>
          <w:lang w:val="en-US" w:eastAsia="zh-CN"/>
        </w:rPr>
        <w:t>98</w:t>
      </w:r>
      <w:r>
        <w:rPr>
          <w:spacing w:val="-21"/>
        </w:rPr>
        <w:t xml:space="preserve">％。与 </w:t>
      </w:r>
      <w:r>
        <w:t>20</w:t>
      </w:r>
      <w:r>
        <w:rPr>
          <w:rFonts w:hint="eastAsia"/>
          <w:lang w:val="en-US" w:eastAsia="zh-CN"/>
        </w:rPr>
        <w:t>20</w:t>
      </w:r>
      <w:r>
        <w:rPr>
          <w:spacing w:val="-10"/>
        </w:rPr>
        <w:t xml:space="preserve"> 年相比，一般公共预算财政拨</w:t>
      </w:r>
      <w:r>
        <w:rPr>
          <w:rFonts w:hint="eastAsia"/>
          <w:spacing w:val="-10"/>
          <w:lang w:eastAsia="zh-CN"/>
        </w:rPr>
        <w:t>款支出减少</w:t>
      </w:r>
      <w:r>
        <w:rPr>
          <w:rFonts w:hint="eastAsia"/>
          <w:spacing w:val="-10"/>
          <w:lang w:val="en-US" w:eastAsia="zh-CN"/>
        </w:rPr>
        <w:t>8.9万元，减少4.9%。</w:t>
      </w:r>
      <w:r>
        <w:rPr>
          <w:rFonts w:hint="eastAsia" w:ascii="仿宋" w:hAnsi="仿宋" w:eastAsia="仿宋" w:cs="仿宋"/>
          <w:spacing w:val="-14"/>
        </w:rPr>
        <w:t>主要原因是</w:t>
      </w:r>
      <w:r>
        <w:rPr>
          <w:rFonts w:hint="eastAsia" w:cs="仿宋"/>
          <w:spacing w:val="-14"/>
          <w:lang w:val="en-US" w:eastAsia="zh-CN"/>
        </w:rPr>
        <w:t>2021年年初预算比2020年减少</w:t>
      </w:r>
      <w:r>
        <w:rPr>
          <w:rFonts w:hint="eastAsia" w:cs="仿宋"/>
          <w:spacing w:val="-14"/>
          <w:lang w:eastAsia="zh-CN"/>
        </w:rPr>
        <w:t>。</w:t>
      </w:r>
    </w:p>
    <w:p>
      <w:pPr>
        <w:pStyle w:val="2"/>
        <w:spacing w:before="283"/>
        <w:ind w:firstLine="640" w:firstLineChars="200"/>
      </w:pPr>
      <w:r>
        <w:t>2、一般公共预算财政拨款支出决算结构情况。</w:t>
      </w:r>
    </w:p>
    <w:p>
      <w:pPr>
        <w:pStyle w:val="2"/>
        <w:spacing w:before="5"/>
        <w:rPr>
          <w:sz w:val="38"/>
        </w:rPr>
      </w:pPr>
    </w:p>
    <w:p>
      <w:pPr>
        <w:pStyle w:val="2"/>
        <w:spacing w:line="364" w:lineRule="auto"/>
        <w:ind w:left="230" w:right="102" w:firstLine="640"/>
        <w:rPr>
          <w:rFonts w:hint="default" w:eastAsia="仿宋"/>
          <w:spacing w:val="-11"/>
          <w:lang w:val="en-US" w:eastAsia="zh-CN"/>
        </w:rPr>
      </w:pPr>
      <w:r>
        <w:rPr>
          <w:rFonts w:hint="eastAsia"/>
          <w:spacing w:val="-10"/>
          <w:lang w:val="en-US" w:eastAsia="zh-CN"/>
        </w:rPr>
        <w:t>2021年度一般公共预算财政拨款支出主要用于以下方面：</w:t>
      </w:r>
      <w:r>
        <w:rPr>
          <w:spacing w:val="-10"/>
        </w:rPr>
        <w:t>一般公共服务支出</w:t>
      </w:r>
      <w:r>
        <w:rPr>
          <w:rFonts w:hint="eastAsia"/>
          <w:spacing w:val="-10"/>
          <w:lang w:val="en-US" w:eastAsia="zh-CN"/>
        </w:rPr>
        <w:t>145</w:t>
      </w:r>
      <w:r>
        <w:rPr>
          <w:spacing w:val="-21"/>
        </w:rPr>
        <w:t xml:space="preserve"> 万元，占当年</w:t>
      </w:r>
      <w:r>
        <w:rPr>
          <w:rFonts w:hint="eastAsia"/>
          <w:spacing w:val="-21"/>
          <w:lang w:eastAsia="zh-CN"/>
        </w:rPr>
        <w:t>支出</w:t>
      </w:r>
      <w:r>
        <w:rPr>
          <w:spacing w:val="-21"/>
        </w:rPr>
        <w:t xml:space="preserve">的 </w:t>
      </w:r>
      <w:r>
        <w:rPr>
          <w:rFonts w:hint="eastAsia"/>
          <w:spacing w:val="-21"/>
          <w:lang w:val="en-US" w:eastAsia="zh-CN"/>
        </w:rPr>
        <w:t>85.6</w:t>
      </w:r>
      <w:r>
        <w:t xml:space="preserve">％， </w:t>
      </w:r>
      <w:r>
        <w:rPr>
          <w:spacing w:val="-11"/>
        </w:rPr>
        <w:t>用于人员工资、津补贴、取暖费以及人员公用等各项支出。</w:t>
      </w:r>
      <w:r>
        <w:rPr>
          <w:rFonts w:hint="eastAsia"/>
          <w:spacing w:val="-11"/>
          <w:lang w:eastAsia="zh-CN"/>
        </w:rPr>
        <w:t>社会保障和就业支出</w:t>
      </w:r>
      <w:r>
        <w:rPr>
          <w:rFonts w:hint="eastAsia"/>
          <w:spacing w:val="-11"/>
          <w:lang w:val="en-US" w:eastAsia="zh-CN"/>
        </w:rPr>
        <w:t>16.1万元，占当年支出的9.5%，用于人员社保等支出。卫生健康支出8万元，占当年支出的4.7%，用于人员医保类等支出。</w:t>
      </w:r>
    </w:p>
    <w:p>
      <w:pPr>
        <w:pStyle w:val="2"/>
        <w:spacing w:before="286"/>
        <w:ind w:left="870"/>
      </w:pPr>
      <w:r>
        <w:t>3、一般公共预算财政拨款支出决算具体情况。</w:t>
      </w:r>
    </w:p>
    <w:p>
      <w:pPr>
        <w:pStyle w:val="2"/>
        <w:spacing w:before="8"/>
        <w:rPr>
          <w:sz w:val="38"/>
        </w:rPr>
      </w:pPr>
    </w:p>
    <w:p>
      <w:pPr>
        <w:pStyle w:val="2"/>
        <w:tabs>
          <w:tab w:val="left" w:pos="9240"/>
        </w:tabs>
        <w:spacing w:line="364" w:lineRule="auto"/>
        <w:ind w:right="30" w:rightChars="0" w:firstLine="640" w:firstLineChars="200"/>
        <w:rPr>
          <w:rFonts w:hint="eastAsia" w:eastAsia="仿宋"/>
          <w:lang w:eastAsia="zh-CN"/>
        </w:rPr>
      </w:pPr>
      <w:r>
        <w:t>20</w:t>
      </w:r>
      <w:r>
        <w:rPr>
          <w:rFonts w:hint="eastAsia"/>
          <w:lang w:val="en-US" w:eastAsia="zh-CN"/>
        </w:rPr>
        <w:t>21</w:t>
      </w:r>
      <w:r>
        <w:rPr>
          <w:spacing w:val="-14"/>
        </w:rPr>
        <w:t xml:space="preserve"> 年度一般公共预算财政拨款支出当年预算为</w:t>
      </w:r>
      <w:r>
        <w:rPr>
          <w:rFonts w:hint="eastAsia"/>
          <w:spacing w:val="-14"/>
          <w:lang w:val="en-US" w:eastAsia="zh-CN"/>
        </w:rPr>
        <w:t>169.2</w:t>
      </w:r>
      <w:r>
        <w:rPr>
          <w:spacing w:val="-40"/>
        </w:rPr>
        <w:t>万</w:t>
      </w:r>
      <w:r>
        <w:rPr>
          <w:spacing w:val="-19"/>
        </w:rPr>
        <w:t>元</w:t>
      </w:r>
      <w:r>
        <w:rPr>
          <w:rFonts w:hint="eastAsia"/>
          <w:spacing w:val="-19"/>
          <w:lang w:eastAsia="zh-CN"/>
        </w:rPr>
        <w:t>，</w:t>
      </w:r>
      <w:r>
        <w:rPr>
          <w:spacing w:val="-19"/>
        </w:rPr>
        <w:t>支出决算为</w:t>
      </w:r>
      <w:r>
        <w:rPr>
          <w:rFonts w:hint="eastAsia"/>
          <w:spacing w:val="-19"/>
          <w:lang w:val="en-US" w:eastAsia="zh-CN"/>
        </w:rPr>
        <w:t>169.2</w:t>
      </w:r>
      <w:r>
        <w:rPr>
          <w:spacing w:val="-18"/>
        </w:rPr>
        <w:t>万元，完成当年预算的</w:t>
      </w:r>
      <w:r>
        <w:rPr>
          <w:rFonts w:hint="eastAsia"/>
          <w:spacing w:val="-18"/>
          <w:lang w:val="en-US" w:eastAsia="zh-CN"/>
        </w:rPr>
        <w:t>100</w:t>
      </w:r>
      <w:r>
        <w:t>％</w:t>
      </w:r>
      <w:r>
        <w:rPr>
          <w:rFonts w:hint="eastAsia"/>
          <w:lang w:eastAsia="zh-CN"/>
        </w:rPr>
        <w:t>。</w:t>
      </w:r>
    </w:p>
    <w:p>
      <w:pPr>
        <w:pStyle w:val="2"/>
        <w:keepNext w:val="0"/>
        <w:keepLines w:val="0"/>
        <w:pageBreakBefore w:val="0"/>
        <w:widowControl w:val="0"/>
        <w:kinsoku/>
        <w:wordWrap/>
        <w:overflowPunct/>
        <w:topLinePunct w:val="0"/>
        <w:autoSpaceDE w:val="0"/>
        <w:autoSpaceDN w:val="0"/>
        <w:bidi w:val="0"/>
        <w:adjustRightInd/>
        <w:snapToGrid/>
        <w:spacing w:before="10" w:after="0" w:afterLines="50" w:line="360" w:lineRule="auto"/>
        <w:ind w:firstLine="640" w:firstLineChars="200"/>
        <w:textAlignment w:val="auto"/>
        <w:rPr>
          <w:rFonts w:hint="eastAsia" w:ascii="楷体" w:eastAsia="楷体"/>
        </w:rPr>
      </w:pPr>
      <w:r>
        <w:rPr>
          <w:rFonts w:hint="eastAsia" w:ascii="楷体" w:eastAsia="楷体"/>
        </w:rPr>
        <w:t>六、20</w:t>
      </w:r>
      <w:r>
        <w:rPr>
          <w:rFonts w:hint="eastAsia" w:ascii="楷体" w:eastAsia="楷体"/>
          <w:lang w:val="en-US" w:eastAsia="zh-CN"/>
        </w:rPr>
        <w:t>21</w:t>
      </w:r>
      <w:r>
        <w:rPr>
          <w:rFonts w:hint="eastAsia" w:ascii="楷体" w:eastAsia="楷体"/>
        </w:rPr>
        <w:t>年度一般公共预算财政拨款基本支出决算情况说明。</w:t>
      </w:r>
    </w:p>
    <w:p>
      <w:pPr>
        <w:pStyle w:val="2"/>
        <w:keepNext w:val="0"/>
        <w:keepLines w:val="0"/>
        <w:pageBreakBefore w:val="0"/>
        <w:widowControl w:val="0"/>
        <w:kinsoku/>
        <w:wordWrap/>
        <w:overflowPunct/>
        <w:topLinePunct w:val="0"/>
        <w:autoSpaceDE w:val="0"/>
        <w:autoSpaceDN w:val="0"/>
        <w:bidi w:val="0"/>
        <w:adjustRightInd/>
        <w:snapToGrid/>
        <w:spacing w:before="26" w:line="360" w:lineRule="auto"/>
        <w:ind w:firstLine="640" w:firstLineChars="200"/>
        <w:textAlignment w:val="auto"/>
      </w:pPr>
      <w:r>
        <w:t>20</w:t>
      </w:r>
      <w:r>
        <w:rPr>
          <w:rFonts w:hint="eastAsia"/>
          <w:lang w:val="en-US" w:eastAsia="zh-CN"/>
        </w:rPr>
        <w:t>21</w:t>
      </w:r>
      <w:r>
        <w:t xml:space="preserve"> 年度一般公共预算财政拨款基本支出</w:t>
      </w:r>
      <w:r>
        <w:rPr>
          <w:rFonts w:hint="eastAsia"/>
          <w:lang w:val="en-US" w:eastAsia="zh-CN"/>
        </w:rPr>
        <w:t>156.6</w:t>
      </w:r>
      <w:r>
        <w:t>万元，</w:t>
      </w:r>
      <w:r>
        <w:rPr>
          <w:spacing w:val="-16"/>
        </w:rPr>
        <w:t xml:space="preserve">其中：人员经费 </w:t>
      </w:r>
      <w:r>
        <w:rPr>
          <w:rFonts w:hint="eastAsia"/>
          <w:spacing w:val="-16"/>
          <w:lang w:val="en-US" w:eastAsia="zh-CN"/>
        </w:rPr>
        <w:t>138.9</w:t>
      </w:r>
      <w:r>
        <w:rPr>
          <w:spacing w:val="-14"/>
        </w:rPr>
        <w:t>万元，主要包括基本工资、津贴补贴、</w:t>
      </w:r>
      <w:r>
        <w:rPr>
          <w:spacing w:val="-5"/>
        </w:rPr>
        <w:t>其他对个人和家庭的补助等；公用经费</w:t>
      </w:r>
      <w:r>
        <w:rPr>
          <w:rFonts w:hint="eastAsia"/>
          <w:spacing w:val="-5"/>
          <w:lang w:val="en-US" w:eastAsia="zh-CN"/>
        </w:rPr>
        <w:t>17.7</w:t>
      </w:r>
      <w:r>
        <w:rPr>
          <w:spacing w:val="-15"/>
        </w:rPr>
        <w:t>万元，主要包</w:t>
      </w:r>
      <w:r>
        <w:t>括办公费、</w:t>
      </w:r>
      <w:r>
        <w:rPr>
          <w:rFonts w:hint="eastAsia"/>
          <w:lang w:eastAsia="zh-CN"/>
        </w:rPr>
        <w:t>其他交通费、邮电费、培训费</w:t>
      </w:r>
      <w:r>
        <w:t>、差旅费等。</w:t>
      </w:r>
    </w:p>
    <w:p>
      <w:pPr>
        <w:pStyle w:val="2"/>
        <w:spacing w:before="280" w:line="364" w:lineRule="auto"/>
        <w:ind w:right="316" w:firstLine="640" w:firstLineChars="200"/>
        <w:rPr>
          <w:rFonts w:hint="eastAsia" w:ascii="楷体" w:hAnsi="楷体" w:eastAsia="楷体"/>
        </w:rPr>
      </w:pPr>
      <w:r>
        <w:rPr>
          <w:rFonts w:hint="eastAsia" w:ascii="楷体" w:hAnsi="楷体" w:eastAsia="楷体"/>
        </w:rPr>
        <w:t>七、20</w:t>
      </w:r>
      <w:r>
        <w:rPr>
          <w:rFonts w:hint="eastAsia" w:ascii="楷体" w:hAnsi="楷体" w:eastAsia="楷体"/>
          <w:lang w:val="en-US" w:eastAsia="zh-CN"/>
        </w:rPr>
        <w:t>21</w:t>
      </w:r>
      <w:r>
        <w:rPr>
          <w:rFonts w:hint="eastAsia" w:ascii="楷体" w:hAnsi="楷体" w:eastAsia="楷体"/>
        </w:rPr>
        <w:t>年度一般公共预算财政拨款“三公”经费支出决算情况说明。</w:t>
      </w:r>
    </w:p>
    <w:p>
      <w:pPr>
        <w:pStyle w:val="2"/>
        <w:spacing w:before="280" w:line="364" w:lineRule="auto"/>
        <w:ind w:right="316" w:firstLine="640" w:firstLineChars="200"/>
        <w:rPr>
          <w:rFonts w:hint="eastAsia" w:eastAsia="仿宋"/>
          <w:sz w:val="32"/>
          <w:lang w:eastAsia="zh-CN"/>
        </w:rPr>
      </w:pPr>
      <w:r>
        <w:t>20</w:t>
      </w:r>
      <w:r>
        <w:rPr>
          <w:rFonts w:hint="eastAsia"/>
          <w:lang w:val="en-US" w:eastAsia="zh-CN"/>
        </w:rPr>
        <w:t>21</w:t>
      </w:r>
      <w:r>
        <w:t>年度“三公”经费一般公共预算财政拨款支出决算</w:t>
      </w:r>
      <w:r>
        <w:rPr>
          <w:rFonts w:hint="eastAsia"/>
          <w:lang w:val="en-US" w:eastAsia="zh-CN"/>
        </w:rPr>
        <w:t>0.57</w:t>
      </w:r>
      <w:r>
        <w:rPr>
          <w:spacing w:val="-9"/>
          <w:sz w:val="32"/>
        </w:rPr>
        <w:t>万元，比上年</w:t>
      </w:r>
      <w:r>
        <w:rPr>
          <w:rFonts w:hint="eastAsia"/>
          <w:spacing w:val="-9"/>
          <w:sz w:val="32"/>
          <w:lang w:eastAsia="zh-CN"/>
        </w:rPr>
        <w:t>减少</w:t>
      </w:r>
      <w:r>
        <w:rPr>
          <w:rFonts w:hint="eastAsia"/>
          <w:spacing w:val="-9"/>
          <w:sz w:val="32"/>
          <w:lang w:val="en-US" w:eastAsia="zh-CN"/>
        </w:rPr>
        <w:t>0.53</w:t>
      </w:r>
      <w:r>
        <w:rPr>
          <w:spacing w:val="-25"/>
          <w:sz w:val="32"/>
        </w:rPr>
        <w:t>万元，</w:t>
      </w:r>
      <w:r>
        <w:rPr>
          <w:rFonts w:hint="eastAsia"/>
          <w:spacing w:val="-25"/>
          <w:sz w:val="32"/>
          <w:lang w:eastAsia="zh-CN"/>
        </w:rPr>
        <w:t>减少</w:t>
      </w:r>
      <w:r>
        <w:rPr>
          <w:rFonts w:hint="eastAsia"/>
          <w:spacing w:val="-25"/>
          <w:sz w:val="32"/>
          <w:lang w:val="en-US" w:eastAsia="zh-CN"/>
        </w:rPr>
        <w:t>48</w:t>
      </w:r>
      <w:r>
        <w:rPr>
          <w:sz w:val="32"/>
        </w:rPr>
        <w:t>％。</w:t>
      </w:r>
      <w:r>
        <w:rPr>
          <w:rFonts w:hint="eastAsia"/>
          <w:sz w:val="32"/>
          <w:lang w:eastAsia="zh-CN"/>
        </w:rPr>
        <w:t>减少原因是</w:t>
      </w:r>
      <w:r>
        <w:rPr>
          <w:rFonts w:hint="eastAsia"/>
          <w:sz w:val="32"/>
          <w:lang w:val="en-US" w:eastAsia="zh-CN"/>
        </w:rPr>
        <w:t>2021年因为疫情原因，用车下乡、外出培训次数相对2020年减少</w:t>
      </w:r>
      <w:r>
        <w:rPr>
          <w:rFonts w:hint="eastAsia"/>
          <w:sz w:val="32"/>
          <w:lang w:eastAsia="zh-CN"/>
        </w:rPr>
        <w:t>。</w:t>
      </w:r>
      <w:r>
        <w:rPr>
          <w:sz w:val="32"/>
        </w:rPr>
        <w:t>因</w:t>
      </w:r>
      <w:r>
        <w:rPr>
          <w:spacing w:val="-8"/>
          <w:sz w:val="32"/>
        </w:rPr>
        <w:t xml:space="preserve">公出国(境)费支出 </w:t>
      </w:r>
      <w:r>
        <w:rPr>
          <w:sz w:val="32"/>
        </w:rPr>
        <w:t>0</w:t>
      </w:r>
      <w:r>
        <w:rPr>
          <w:spacing w:val="-19"/>
          <w:sz w:val="32"/>
        </w:rPr>
        <w:t xml:space="preserve"> 万元，</w:t>
      </w:r>
      <w:r>
        <w:rPr>
          <w:rFonts w:hint="eastAsia"/>
          <w:spacing w:val="-19"/>
          <w:sz w:val="32"/>
          <w:lang w:eastAsia="zh-CN"/>
        </w:rPr>
        <w:t>与</w:t>
      </w:r>
      <w:r>
        <w:rPr>
          <w:spacing w:val="-19"/>
          <w:sz w:val="32"/>
        </w:rPr>
        <w:t xml:space="preserve">上年相同；公务接待费支出 </w:t>
      </w:r>
      <w:r>
        <w:rPr>
          <w:sz w:val="32"/>
        </w:rPr>
        <w:t>0</w:t>
      </w:r>
      <w:r>
        <w:rPr>
          <w:spacing w:val="-42"/>
          <w:sz w:val="32"/>
        </w:rPr>
        <w:t xml:space="preserve"> 万</w:t>
      </w:r>
      <w:r>
        <w:rPr>
          <w:spacing w:val="-17"/>
          <w:sz w:val="32"/>
        </w:rPr>
        <w:t>元，</w:t>
      </w:r>
      <w:r>
        <w:rPr>
          <w:rFonts w:hint="eastAsia"/>
          <w:spacing w:val="-17"/>
          <w:sz w:val="32"/>
          <w:lang w:eastAsia="zh-CN"/>
        </w:rPr>
        <w:t>与</w:t>
      </w:r>
      <w:r>
        <w:rPr>
          <w:spacing w:val="-17"/>
          <w:sz w:val="32"/>
        </w:rPr>
        <w:t>上年相同</w:t>
      </w:r>
      <w:r>
        <w:rPr>
          <w:rFonts w:hint="eastAsia"/>
          <w:spacing w:val="-17"/>
          <w:sz w:val="32"/>
          <w:lang w:eastAsia="zh-CN"/>
        </w:rPr>
        <w:t>。</w:t>
      </w:r>
    </w:p>
    <w:p>
      <w:pPr>
        <w:pStyle w:val="2"/>
        <w:spacing w:before="287" w:line="364" w:lineRule="auto"/>
        <w:ind w:right="157" w:firstLine="640" w:firstLineChars="200"/>
      </w:pPr>
      <w:r>
        <w:t>本年度本单位无因公出国（境）</w:t>
      </w:r>
      <w:r>
        <w:rPr>
          <w:rFonts w:hint="eastAsia"/>
          <w:lang w:eastAsia="zh-CN"/>
        </w:rPr>
        <w:t>费</w:t>
      </w:r>
      <w:r>
        <w:t>，未发生公务用车购置</w:t>
      </w:r>
      <w:r>
        <w:rPr>
          <w:rFonts w:hint="eastAsia"/>
          <w:lang w:eastAsia="zh-CN"/>
        </w:rPr>
        <w:t>费</w:t>
      </w:r>
      <w:r>
        <w:t xml:space="preserve">， 车辆保有量 </w:t>
      </w:r>
      <w:r>
        <w:rPr>
          <w:rFonts w:hint="eastAsia"/>
          <w:lang w:val="en-US" w:eastAsia="zh-CN"/>
        </w:rPr>
        <w:t>1</w:t>
      </w:r>
      <w:r>
        <w:t xml:space="preserve"> 辆，无公务接待费支出。</w:t>
      </w:r>
    </w:p>
    <w:p>
      <w:pPr>
        <w:pStyle w:val="2"/>
        <w:spacing w:before="281"/>
        <w:ind w:firstLine="640" w:firstLineChars="200"/>
        <w:rPr>
          <w:rFonts w:hint="eastAsia" w:ascii="楷体" w:eastAsia="楷体"/>
        </w:rPr>
      </w:pPr>
      <w:r>
        <w:rPr>
          <w:rFonts w:hint="eastAsia" w:ascii="楷体" w:eastAsia="楷体"/>
        </w:rPr>
        <w:t>八、20</w:t>
      </w:r>
      <w:r>
        <w:rPr>
          <w:rFonts w:hint="eastAsia" w:ascii="楷体" w:eastAsia="楷体"/>
          <w:lang w:val="en-US" w:eastAsia="zh-CN"/>
        </w:rPr>
        <w:t>21</w:t>
      </w:r>
      <w:r>
        <w:rPr>
          <w:rFonts w:hint="eastAsia" w:ascii="楷体" w:eastAsia="楷体"/>
        </w:rPr>
        <w:t>年度政府性基金预算收入支出决算情况说明</w:t>
      </w:r>
    </w:p>
    <w:p>
      <w:pPr>
        <w:pStyle w:val="2"/>
        <w:spacing w:before="8"/>
        <w:rPr>
          <w:rFonts w:ascii="楷体"/>
          <w:sz w:val="38"/>
        </w:rPr>
      </w:pPr>
    </w:p>
    <w:p>
      <w:pPr>
        <w:pStyle w:val="2"/>
        <w:keepNext w:val="0"/>
        <w:keepLines w:val="0"/>
        <w:pageBreakBefore w:val="0"/>
        <w:widowControl w:val="0"/>
        <w:kinsoku/>
        <w:wordWrap/>
        <w:overflowPunct/>
        <w:topLinePunct w:val="0"/>
        <w:autoSpaceDE w:val="0"/>
        <w:autoSpaceDN w:val="0"/>
        <w:bidi w:val="0"/>
        <w:adjustRightInd/>
        <w:snapToGrid/>
        <w:spacing w:before="10" w:after="0" w:afterLines="50" w:line="360" w:lineRule="auto"/>
        <w:ind w:firstLine="640" w:firstLineChars="200"/>
        <w:jc w:val="left"/>
        <w:textAlignment w:val="auto"/>
        <w:rPr>
          <w:rFonts w:ascii="楷体"/>
          <w:sz w:val="38"/>
        </w:rPr>
      </w:pPr>
      <w:r>
        <w:t>20</w:t>
      </w:r>
      <w:r>
        <w:rPr>
          <w:rFonts w:hint="eastAsia"/>
          <w:lang w:val="en-US" w:eastAsia="zh-CN"/>
        </w:rPr>
        <w:t>21</w:t>
      </w:r>
      <w:r>
        <w:t xml:space="preserve"> 年度</w:t>
      </w:r>
      <w:r>
        <w:rPr>
          <w:rFonts w:hint="eastAsia"/>
          <w:lang w:eastAsia="zh-CN"/>
        </w:rPr>
        <w:t>我单位</w:t>
      </w:r>
      <w:r>
        <w:t>无政府性基金收入</w:t>
      </w:r>
      <w:r>
        <w:rPr>
          <w:rFonts w:hint="eastAsia"/>
          <w:lang w:eastAsia="zh-CN"/>
        </w:rPr>
        <w:t>。</w:t>
      </w:r>
    </w:p>
    <w:p>
      <w:pPr>
        <w:pStyle w:val="2"/>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firstLine="640" w:firstLineChars="200"/>
        <w:textAlignment w:val="auto"/>
        <w:rPr>
          <w:rFonts w:hint="eastAsia" w:ascii="楷体" w:hAnsi="楷体" w:eastAsia="楷体" w:cs="楷体"/>
          <w:b w:val="0"/>
          <w:bCs w:val="0"/>
          <w:lang w:eastAsia="zh-CN"/>
        </w:rPr>
      </w:pPr>
      <w:r>
        <w:rPr>
          <w:rFonts w:hint="eastAsia" w:ascii="楷体" w:hAnsi="楷体" w:eastAsia="楷体" w:cs="楷体"/>
          <w:b w:val="0"/>
          <w:bCs w:val="0"/>
          <w:lang w:eastAsia="zh-CN"/>
        </w:rPr>
        <w:t>九、其他重要事项的情况说明</w:t>
      </w:r>
    </w:p>
    <w:p>
      <w:pPr>
        <w:pStyle w:val="2"/>
        <w:ind w:firstLine="640" w:firstLineChars="200"/>
      </w:pPr>
      <w:r>
        <w:t>1、机关运行经费支出情况。</w:t>
      </w:r>
    </w:p>
    <w:p>
      <w:pPr>
        <w:pStyle w:val="2"/>
        <w:spacing w:before="6"/>
        <w:rPr>
          <w:sz w:val="38"/>
        </w:rPr>
      </w:pPr>
    </w:p>
    <w:p>
      <w:pPr>
        <w:pStyle w:val="2"/>
        <w:spacing w:line="364" w:lineRule="auto"/>
        <w:ind w:right="266" w:firstLine="612" w:firstLineChars="200"/>
        <w:rPr>
          <w:rFonts w:hint="default" w:eastAsia="仿宋"/>
          <w:lang w:val="en-US" w:eastAsia="zh-CN"/>
        </w:rPr>
      </w:pPr>
      <w:r>
        <w:rPr>
          <w:spacing w:val="-7"/>
        </w:rPr>
        <w:t>本单位机关运行经费支出</w:t>
      </w:r>
      <w:r>
        <w:rPr>
          <w:rFonts w:hint="eastAsia"/>
          <w:spacing w:val="-7"/>
          <w:lang w:val="en-US" w:eastAsia="zh-CN"/>
        </w:rPr>
        <w:t>17.7</w:t>
      </w:r>
      <w:r>
        <w:rPr>
          <w:spacing w:val="-66"/>
        </w:rPr>
        <w:t>万</w:t>
      </w:r>
      <w:r>
        <w:rPr>
          <w:rFonts w:hint="eastAsia"/>
          <w:spacing w:val="-66"/>
          <w:lang w:val="en-US" w:eastAsia="zh-CN"/>
        </w:rPr>
        <w:t xml:space="preserve">  </w:t>
      </w:r>
      <w:r>
        <w:rPr>
          <w:spacing w:val="-66"/>
        </w:rPr>
        <w:t>元</w:t>
      </w:r>
      <w:r>
        <w:rPr>
          <w:rFonts w:hint="eastAsia"/>
          <w:spacing w:val="-66"/>
          <w:lang w:eastAsia="zh-CN"/>
        </w:rPr>
        <w:t>，</w:t>
      </w:r>
      <w:r>
        <w:rPr>
          <w:spacing w:val="-27"/>
        </w:rPr>
        <w:t xml:space="preserve">比 </w:t>
      </w:r>
      <w:r>
        <w:t>20</w:t>
      </w:r>
      <w:r>
        <w:rPr>
          <w:rFonts w:hint="eastAsia"/>
          <w:lang w:val="en-US" w:eastAsia="zh-CN"/>
        </w:rPr>
        <w:t>20</w:t>
      </w:r>
      <w:r>
        <w:rPr>
          <w:spacing w:val="-55"/>
        </w:rPr>
        <w:t>年</w:t>
      </w:r>
      <w:r>
        <w:rPr>
          <w:rFonts w:hint="eastAsia"/>
          <w:spacing w:val="-55"/>
          <w:lang w:val="en-US" w:eastAsia="zh-CN"/>
        </w:rPr>
        <w:t xml:space="preserve"> </w:t>
      </w:r>
      <w:r>
        <w:rPr>
          <w:rFonts w:hint="eastAsia"/>
          <w:spacing w:val="-55"/>
          <w:lang w:eastAsia="zh-CN"/>
        </w:rPr>
        <w:t>减</w:t>
      </w:r>
      <w:r>
        <w:rPr>
          <w:rFonts w:hint="eastAsia"/>
          <w:spacing w:val="-55"/>
          <w:lang w:val="en-US" w:eastAsia="zh-CN"/>
        </w:rPr>
        <w:t xml:space="preserve">  </w:t>
      </w:r>
      <w:r>
        <w:rPr>
          <w:rFonts w:hint="eastAsia"/>
          <w:spacing w:val="-55"/>
          <w:lang w:eastAsia="zh-CN"/>
        </w:rPr>
        <w:t>少</w:t>
      </w:r>
      <w:r>
        <w:rPr>
          <w:rFonts w:hint="eastAsia"/>
          <w:spacing w:val="-55"/>
          <w:lang w:val="en-US" w:eastAsia="zh-CN"/>
        </w:rPr>
        <w:t xml:space="preserve"> 0.7</w:t>
      </w:r>
      <w:r>
        <w:rPr>
          <w:spacing w:val="-26"/>
        </w:rPr>
        <w:t>万元</w:t>
      </w:r>
      <w:r>
        <w:rPr>
          <w:rFonts w:hint="eastAsia"/>
          <w:spacing w:val="-26"/>
          <w:lang w:eastAsia="zh-CN"/>
        </w:rPr>
        <w:t>。</w:t>
      </w:r>
      <w:r>
        <w:rPr>
          <w:spacing w:val="-11"/>
        </w:rPr>
        <w:t xml:space="preserve">主要原因是：由于 </w:t>
      </w:r>
      <w:r>
        <w:t>20</w:t>
      </w:r>
      <w:r>
        <w:rPr>
          <w:rFonts w:hint="eastAsia"/>
          <w:lang w:val="en-US" w:eastAsia="zh-CN"/>
        </w:rPr>
        <w:t>21</w:t>
      </w:r>
      <w:r>
        <w:rPr>
          <w:spacing w:val="-28"/>
        </w:rPr>
        <w:t xml:space="preserve"> 年</w:t>
      </w:r>
      <w:r>
        <w:rPr>
          <w:rFonts w:hint="eastAsia"/>
          <w:spacing w:val="-28"/>
          <w:lang w:eastAsia="zh-CN"/>
        </w:rPr>
        <w:t>疫情影响，</w:t>
      </w:r>
      <w:r>
        <w:rPr>
          <w:rFonts w:hint="eastAsia"/>
          <w:lang w:eastAsia="zh-CN"/>
        </w:rPr>
        <w:t>各项支出相对减少</w:t>
      </w:r>
      <w:r>
        <w:t>。</w:t>
      </w:r>
    </w:p>
    <w:p>
      <w:pPr>
        <w:pStyle w:val="2"/>
        <w:keepNext w:val="0"/>
        <w:keepLines w:val="0"/>
        <w:pageBreakBefore w:val="0"/>
        <w:widowControl w:val="0"/>
        <w:kinsoku/>
        <w:wordWrap/>
        <w:overflowPunct/>
        <w:topLinePunct w:val="0"/>
        <w:autoSpaceDE w:val="0"/>
        <w:autoSpaceDN w:val="0"/>
        <w:bidi w:val="0"/>
        <w:adjustRightInd/>
        <w:snapToGrid/>
        <w:spacing w:before="10" w:after="0" w:afterLines="50" w:line="360" w:lineRule="auto"/>
        <w:ind w:firstLine="640" w:firstLineChars="200"/>
        <w:textAlignment w:val="auto"/>
        <w:rPr>
          <w:sz w:val="38"/>
        </w:rPr>
      </w:pPr>
      <w:r>
        <w:t>2、政府采购支出情况。</w:t>
      </w:r>
    </w:p>
    <w:p>
      <w:pPr>
        <w:pStyle w:val="2"/>
        <w:keepNext w:val="0"/>
        <w:keepLines w:val="0"/>
        <w:pageBreakBefore w:val="0"/>
        <w:widowControl w:val="0"/>
        <w:kinsoku/>
        <w:wordWrap/>
        <w:overflowPunct/>
        <w:topLinePunct w:val="0"/>
        <w:autoSpaceDE w:val="0"/>
        <w:autoSpaceDN w:val="0"/>
        <w:bidi w:val="0"/>
        <w:adjustRightInd/>
        <w:snapToGrid/>
        <w:spacing w:before="10" w:after="0" w:afterLines="50" w:line="360" w:lineRule="auto"/>
        <w:ind w:firstLine="640" w:firstLineChars="200"/>
        <w:textAlignment w:val="auto"/>
        <w:rPr>
          <w:sz w:val="38"/>
        </w:rPr>
      </w:pPr>
      <w:r>
        <w:t>20</w:t>
      </w:r>
      <w:r>
        <w:rPr>
          <w:rFonts w:hint="eastAsia"/>
          <w:lang w:val="en-US" w:eastAsia="zh-CN"/>
        </w:rPr>
        <w:t>21</w:t>
      </w:r>
      <w:r>
        <w:t>年政府采购</w:t>
      </w:r>
      <w:r>
        <w:rPr>
          <w:rFonts w:hint="eastAsia"/>
          <w:lang w:eastAsia="zh-CN"/>
        </w:rPr>
        <w:t>支出总额</w:t>
      </w:r>
      <w:r>
        <w:rPr>
          <w:rFonts w:hint="eastAsia"/>
          <w:lang w:val="en-US" w:eastAsia="zh-CN"/>
        </w:rPr>
        <w:t>4.6万元，其中：政府采购货物支出1.7万元、政府采购印刷服务支出2.9万元、政府采购工程支出0元。</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before="0" w:beforeLines="50" w:after="0" w:afterLines="50" w:line="360" w:lineRule="auto"/>
        <w:ind w:right="0" w:rightChars="0" w:firstLine="640" w:firstLineChars="200"/>
        <w:textAlignment w:val="auto"/>
      </w:pPr>
      <w:r>
        <w:rPr>
          <w:rFonts w:hint="eastAsia"/>
          <w:lang w:val="en-US" w:eastAsia="zh-CN"/>
        </w:rPr>
        <w:t>3、</w:t>
      </w:r>
      <w:r>
        <w:t>国有资产占用情况。</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before="0" w:beforeLines="50" w:after="0" w:afterLines="50" w:line="360" w:lineRule="auto"/>
        <w:ind w:right="0" w:rightChars="0" w:firstLine="640" w:firstLineChars="200"/>
        <w:textAlignment w:val="auto"/>
      </w:pPr>
      <w:r>
        <w:rPr>
          <w:rFonts w:hint="eastAsia"/>
          <w:lang w:eastAsia="zh-CN"/>
        </w:rPr>
        <w:t>截止</w:t>
      </w:r>
      <w:r>
        <w:rPr>
          <w:rFonts w:hint="eastAsia"/>
          <w:lang w:val="en-US" w:eastAsia="zh-CN"/>
        </w:rPr>
        <w:t>2021年12月31日，单位共有车辆1辆。</w:t>
      </w:r>
    </w:p>
    <w:p>
      <w:pPr>
        <w:pStyle w:val="2"/>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firstLine="640" w:firstLineChars="200"/>
        <w:textAlignment w:val="auto"/>
        <w:rPr>
          <w:rFonts w:hint="eastAsia"/>
          <w:spacing w:val="-1"/>
          <w:sz w:val="32"/>
          <w:lang w:eastAsia="zh-CN"/>
        </w:rPr>
      </w:pPr>
      <w:r>
        <w:t>4、预算绩效管理工作开展情况</w:t>
      </w:r>
    </w:p>
    <w:p>
      <w:pPr>
        <w:pStyle w:val="2"/>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firstLine="636" w:firstLineChars="200"/>
        <w:textAlignment w:val="auto"/>
        <w:rPr>
          <w:sz w:val="38"/>
        </w:rPr>
      </w:pPr>
      <w:r>
        <w:rPr>
          <w:rFonts w:hint="eastAsia"/>
          <w:spacing w:val="-1"/>
          <w:sz w:val="32"/>
          <w:lang w:eastAsia="zh-CN"/>
        </w:rPr>
        <w:t>（</w:t>
      </w:r>
      <w:r>
        <w:rPr>
          <w:rFonts w:hint="eastAsia"/>
          <w:spacing w:val="-1"/>
          <w:sz w:val="32"/>
          <w:lang w:val="en-US" w:eastAsia="zh-CN"/>
        </w:rPr>
        <w:t>1</w:t>
      </w:r>
      <w:r>
        <w:rPr>
          <w:rFonts w:hint="eastAsia"/>
          <w:spacing w:val="-1"/>
          <w:sz w:val="32"/>
          <w:lang w:eastAsia="zh-CN"/>
        </w:rPr>
        <w:t>）</w:t>
      </w:r>
      <w:r>
        <w:t>20</w:t>
      </w:r>
      <w:r>
        <w:rPr>
          <w:rFonts w:hint="eastAsia"/>
          <w:lang w:val="en-US" w:eastAsia="zh-CN"/>
        </w:rPr>
        <w:t>21</w:t>
      </w:r>
      <w:r>
        <w:t>年度单位实行绩效目标管理目标项目 0 个，涉及一般公共预算当年拨款 0 万元，</w:t>
      </w:r>
    </w:p>
    <w:p>
      <w:pPr>
        <w:pStyle w:val="2"/>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firstLine="640" w:firstLineChars="200"/>
        <w:textAlignment w:val="auto"/>
        <w:rPr>
          <w:sz w:val="38"/>
        </w:rPr>
      </w:pPr>
      <w:r>
        <w:rPr>
          <w:rFonts w:hint="eastAsia"/>
          <w:lang w:eastAsia="zh-CN"/>
        </w:rPr>
        <w:t>（</w:t>
      </w:r>
      <w:r>
        <w:rPr>
          <w:rFonts w:hint="eastAsia"/>
          <w:lang w:val="en-US" w:eastAsia="zh-CN"/>
        </w:rPr>
        <w:t>2</w:t>
      </w:r>
      <w:r>
        <w:rPr>
          <w:rFonts w:hint="eastAsia"/>
          <w:lang w:eastAsia="zh-CN"/>
        </w:rPr>
        <w:t>）</w:t>
      </w:r>
      <w:r>
        <w:t>20</w:t>
      </w:r>
      <w:r>
        <w:rPr>
          <w:rFonts w:hint="eastAsia"/>
          <w:lang w:val="en-US" w:eastAsia="zh-CN"/>
        </w:rPr>
        <w:t>21</w:t>
      </w:r>
      <w:r>
        <w:t>年我单位未开展绩效管理目标工作。</w:t>
      </w:r>
    </w:p>
    <w:p>
      <w:pPr>
        <w:pStyle w:val="2"/>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firstLine="640" w:firstLineChars="200"/>
        <w:textAlignment w:val="auto"/>
        <w:rPr>
          <w:sz w:val="38"/>
        </w:rPr>
      </w:pPr>
      <w:r>
        <w:t>5、政府购买服务指导性目录。</w:t>
      </w:r>
    </w:p>
    <w:p>
      <w:pPr>
        <w:pStyle w:val="2"/>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firstLine="640" w:firstLineChars="200"/>
        <w:textAlignment w:val="auto"/>
        <w:rPr>
          <w:sz w:val="38"/>
        </w:rPr>
      </w:pPr>
      <w:r>
        <w:t>20</w:t>
      </w:r>
      <w:r>
        <w:rPr>
          <w:rFonts w:hint="eastAsia"/>
          <w:lang w:val="en-US" w:eastAsia="zh-CN"/>
        </w:rPr>
        <w:t>21</w:t>
      </w:r>
      <w:r>
        <w:t xml:space="preserve"> 年我单位无政府购买服务指导性目录。</w:t>
      </w:r>
    </w:p>
    <w:p>
      <w:pPr>
        <w:pStyle w:val="2"/>
        <w:tabs>
          <w:tab w:val="left" w:pos="1600"/>
        </w:tabs>
        <w:ind w:right="38"/>
        <w:jc w:val="center"/>
        <w:rPr>
          <w:rFonts w:hint="eastAsia" w:ascii="黑体" w:eastAsia="黑体"/>
        </w:rPr>
      </w:pPr>
      <w:r>
        <w:rPr>
          <w:rFonts w:hint="eastAsia" w:ascii="黑体" w:eastAsia="黑体"/>
        </w:rPr>
        <w:t>第四部分</w:t>
      </w:r>
      <w:r>
        <w:rPr>
          <w:rFonts w:hint="eastAsia" w:ascii="黑体" w:eastAsia="黑体"/>
        </w:rPr>
        <w:tab/>
      </w:r>
      <w:r>
        <w:rPr>
          <w:rFonts w:hint="eastAsia" w:ascii="黑体" w:eastAsia="黑体"/>
        </w:rPr>
        <w:t>名词解释</w:t>
      </w:r>
    </w:p>
    <w:p>
      <w:pPr>
        <w:pStyle w:val="2"/>
        <w:spacing w:before="8"/>
        <w:rPr>
          <w:rFonts w:ascii="黑体"/>
          <w:sz w:val="38"/>
        </w:rPr>
      </w:pPr>
    </w:p>
    <w:p>
      <w:pPr>
        <w:pStyle w:val="2"/>
        <w:keepNext w:val="0"/>
        <w:keepLines w:val="0"/>
        <w:pageBreakBefore w:val="0"/>
        <w:widowControl w:val="0"/>
        <w:kinsoku/>
        <w:wordWrap/>
        <w:overflowPunct/>
        <w:topLinePunct w:val="0"/>
        <w:autoSpaceDE w:val="0"/>
        <w:autoSpaceDN w:val="0"/>
        <w:bidi w:val="0"/>
        <w:adjustRightInd/>
        <w:snapToGrid/>
        <w:spacing w:before="10" w:after="0" w:afterLines="50" w:line="360" w:lineRule="auto"/>
        <w:ind w:left="870"/>
        <w:textAlignment w:val="auto"/>
        <w:rPr>
          <w:sz w:val="38"/>
        </w:rPr>
      </w:pPr>
      <w:r>
        <w:rPr>
          <w:rFonts w:hint="eastAsia" w:ascii="楷体" w:eastAsia="楷体"/>
        </w:rPr>
        <w:t>(一)财政拨款收入：</w:t>
      </w:r>
      <w:r>
        <w:t>指同级财政当年拨付的资金。</w:t>
      </w:r>
    </w:p>
    <w:p>
      <w:pPr>
        <w:pStyle w:val="2"/>
        <w:keepNext w:val="0"/>
        <w:keepLines w:val="0"/>
        <w:pageBreakBefore w:val="0"/>
        <w:widowControl w:val="0"/>
        <w:kinsoku/>
        <w:wordWrap/>
        <w:overflowPunct/>
        <w:topLinePunct w:val="0"/>
        <w:autoSpaceDE w:val="0"/>
        <w:autoSpaceDN w:val="0"/>
        <w:bidi w:val="0"/>
        <w:adjustRightInd/>
        <w:snapToGrid/>
        <w:spacing w:before="10" w:after="0" w:afterLines="50" w:line="360" w:lineRule="auto"/>
        <w:ind w:left="230" w:right="265" w:firstLine="640"/>
        <w:textAlignment w:val="auto"/>
      </w:pPr>
      <w:r>
        <w:rPr>
          <w:rFonts w:hint="eastAsia" w:ascii="楷体" w:eastAsia="楷体"/>
          <w:spacing w:val="-12"/>
        </w:rPr>
        <w:t>(二)上级补助收入：</w:t>
      </w:r>
      <w:r>
        <w:rPr>
          <w:spacing w:val="-1"/>
        </w:rPr>
        <w:t>指事业单位从主管部门和上级单位取</w:t>
      </w:r>
      <w:r>
        <w:t>得的非财政补助收入。</w:t>
      </w:r>
    </w:p>
    <w:p>
      <w:pPr>
        <w:pStyle w:val="2"/>
        <w:keepNext w:val="0"/>
        <w:keepLines w:val="0"/>
        <w:pageBreakBefore w:val="0"/>
        <w:widowControl w:val="0"/>
        <w:kinsoku/>
        <w:wordWrap/>
        <w:overflowPunct/>
        <w:topLinePunct w:val="0"/>
        <w:autoSpaceDE w:val="0"/>
        <w:autoSpaceDN w:val="0"/>
        <w:bidi w:val="0"/>
        <w:adjustRightInd/>
        <w:snapToGrid/>
        <w:spacing w:before="10" w:after="0" w:afterLines="50" w:line="360" w:lineRule="auto"/>
        <w:ind w:left="230" w:right="265" w:firstLine="640"/>
        <w:textAlignment w:val="auto"/>
      </w:pPr>
      <w:r>
        <w:rPr>
          <w:rFonts w:hint="eastAsia" w:ascii="楷体" w:eastAsia="楷体"/>
          <w:spacing w:val="-15"/>
        </w:rPr>
        <w:t>(三)事业收入：</w:t>
      </w:r>
      <w:r>
        <w:rPr>
          <w:spacing w:val="-1"/>
        </w:rPr>
        <w:t>指事业单位开展专业业务活动及其辅助活</w:t>
      </w:r>
      <w:r>
        <w:t>动所取得的收入。</w:t>
      </w:r>
    </w:p>
    <w:p>
      <w:pPr>
        <w:pStyle w:val="2"/>
        <w:keepNext w:val="0"/>
        <w:keepLines w:val="0"/>
        <w:pageBreakBefore w:val="0"/>
        <w:widowControl w:val="0"/>
        <w:kinsoku/>
        <w:wordWrap/>
        <w:overflowPunct/>
        <w:topLinePunct w:val="0"/>
        <w:autoSpaceDE w:val="0"/>
        <w:autoSpaceDN w:val="0"/>
        <w:bidi w:val="0"/>
        <w:adjustRightInd/>
        <w:snapToGrid/>
        <w:spacing w:before="10" w:after="0" w:afterLines="50" w:line="360" w:lineRule="auto"/>
        <w:ind w:left="230" w:right="265" w:firstLine="640"/>
        <w:textAlignment w:val="auto"/>
      </w:pPr>
      <w:r>
        <w:rPr>
          <w:rFonts w:hint="eastAsia" w:ascii="楷体" w:eastAsia="楷体"/>
          <w:spacing w:val="-15"/>
        </w:rPr>
        <w:t>(四)经营收入：</w:t>
      </w:r>
      <w:r>
        <w:rPr>
          <w:spacing w:val="-1"/>
        </w:rPr>
        <w:t>指事业单位在专业业务活动及其辅助活动</w:t>
      </w:r>
      <w:r>
        <w:t>之外开展非独立核算经营活动取得的收入。</w:t>
      </w:r>
    </w:p>
    <w:p>
      <w:pPr>
        <w:pStyle w:val="2"/>
        <w:keepNext w:val="0"/>
        <w:keepLines w:val="0"/>
        <w:pageBreakBefore w:val="0"/>
        <w:widowControl w:val="0"/>
        <w:kinsoku/>
        <w:wordWrap/>
        <w:overflowPunct/>
        <w:topLinePunct w:val="0"/>
        <w:autoSpaceDE w:val="0"/>
        <w:autoSpaceDN w:val="0"/>
        <w:bidi w:val="0"/>
        <w:adjustRightInd/>
        <w:snapToGrid/>
        <w:spacing w:before="10" w:after="0" w:afterLines="50" w:line="360" w:lineRule="auto"/>
        <w:ind w:left="230" w:right="105" w:firstLine="640"/>
        <w:textAlignment w:val="auto"/>
      </w:pPr>
      <w:r>
        <w:rPr>
          <w:rFonts w:hint="eastAsia" w:ascii="楷体" w:eastAsia="楷体"/>
          <w:spacing w:val="-12"/>
        </w:rPr>
        <w:t>(五)附属单位缴款：</w:t>
      </w:r>
      <w:r>
        <w:rPr>
          <w:spacing w:val="-1"/>
        </w:rPr>
        <w:t>指事业单位附属的独立核算单位按有</w:t>
      </w:r>
      <w:r>
        <w:t>关规定上缴的收入。</w:t>
      </w:r>
    </w:p>
    <w:p>
      <w:pPr>
        <w:pStyle w:val="2"/>
        <w:keepNext w:val="0"/>
        <w:keepLines w:val="0"/>
        <w:pageBreakBefore w:val="0"/>
        <w:widowControl w:val="0"/>
        <w:kinsoku/>
        <w:wordWrap/>
        <w:overflowPunct/>
        <w:topLinePunct w:val="0"/>
        <w:autoSpaceDE w:val="0"/>
        <w:autoSpaceDN w:val="0"/>
        <w:bidi w:val="0"/>
        <w:adjustRightInd/>
        <w:snapToGrid/>
        <w:spacing w:before="10" w:after="0" w:afterLines="50" w:line="360" w:lineRule="auto"/>
        <w:ind w:left="230" w:right="105" w:firstLine="640"/>
        <w:textAlignment w:val="auto"/>
      </w:pPr>
      <w:r>
        <w:rPr>
          <w:rFonts w:hint="eastAsia" w:ascii="楷体" w:hAnsi="楷体" w:eastAsia="楷体"/>
          <w:spacing w:val="-13"/>
          <w:w w:val="95"/>
        </w:rPr>
        <w:t>(六)其他收入：</w:t>
      </w:r>
      <w:r>
        <w:rPr>
          <w:spacing w:val="-19"/>
          <w:w w:val="95"/>
        </w:rPr>
        <w:t>指除上述“财政拨款收入”</w:t>
      </w:r>
      <w:r>
        <w:rPr>
          <w:spacing w:val="-38"/>
          <w:w w:val="95"/>
        </w:rPr>
        <w:t xml:space="preserve">、“事业收入”、 </w:t>
      </w:r>
      <w:r>
        <w:rPr>
          <w:spacing w:val="-35"/>
        </w:rPr>
        <w:t>“经营收入”、“附属单位繳款”等之外取得的收入。</w:t>
      </w:r>
    </w:p>
    <w:p>
      <w:pPr>
        <w:pStyle w:val="2"/>
        <w:keepNext w:val="0"/>
        <w:keepLines w:val="0"/>
        <w:pageBreakBefore w:val="0"/>
        <w:widowControl w:val="0"/>
        <w:kinsoku/>
        <w:wordWrap/>
        <w:overflowPunct/>
        <w:topLinePunct w:val="0"/>
        <w:autoSpaceDE w:val="0"/>
        <w:autoSpaceDN w:val="0"/>
        <w:bidi w:val="0"/>
        <w:adjustRightInd/>
        <w:snapToGrid/>
        <w:spacing w:before="10" w:after="0" w:afterLines="50" w:line="360" w:lineRule="auto"/>
        <w:ind w:left="230" w:right="105" w:firstLine="640"/>
        <w:textAlignment w:val="auto"/>
      </w:pPr>
      <w:r>
        <w:rPr>
          <w:rFonts w:hint="eastAsia" w:ascii="楷体" w:hAnsi="楷体" w:eastAsia="楷体"/>
          <w:spacing w:val="-4"/>
        </w:rPr>
        <w:t>(七)用事业基金弥补收支差额：</w:t>
      </w:r>
      <w:r>
        <w:rPr>
          <w:spacing w:val="-7"/>
        </w:rPr>
        <w:t>指事业单位在当年的“财</w:t>
      </w:r>
      <w:r>
        <w:rPr>
          <w:spacing w:val="-20"/>
        </w:rPr>
        <w:t>政拨款收入”、“财政拨款结转和结余资金”、“事业收入”、</w:t>
      </w:r>
      <w:r>
        <w:rPr>
          <w:spacing w:val="-10"/>
        </w:rPr>
        <w:t>“事业单位经营收入”、“其他收入”不足以安排当年支出的情况下，使用以前年度积累的事业基金(即事业单位当年收支相抵后按国家规定提取、用于弥补以后年度收支差额的基金) 弥补本年度收支缺口的资金。</w:t>
      </w:r>
    </w:p>
    <w:p>
      <w:pPr>
        <w:pStyle w:val="2"/>
        <w:keepNext w:val="0"/>
        <w:keepLines w:val="0"/>
        <w:pageBreakBefore w:val="0"/>
        <w:widowControl w:val="0"/>
        <w:kinsoku/>
        <w:wordWrap/>
        <w:overflowPunct/>
        <w:topLinePunct w:val="0"/>
        <w:autoSpaceDE w:val="0"/>
        <w:autoSpaceDN w:val="0"/>
        <w:bidi w:val="0"/>
        <w:adjustRightInd/>
        <w:snapToGrid/>
        <w:spacing w:before="10" w:after="0" w:afterLines="50" w:line="360" w:lineRule="auto"/>
        <w:ind w:left="230" w:right="264" w:firstLine="640"/>
        <w:jc w:val="both"/>
        <w:textAlignment w:val="auto"/>
      </w:pPr>
      <w:r>
        <w:rPr>
          <w:rFonts w:hint="eastAsia" w:ascii="楷体" w:eastAsia="楷体"/>
          <w:spacing w:val="-11"/>
        </w:rPr>
        <w:t>(八)上年结转和结余：</w:t>
      </w:r>
      <w:r>
        <w:rPr>
          <w:spacing w:val="-1"/>
        </w:rPr>
        <w:t>指以前年度支出预算因客观条件变</w:t>
      </w:r>
      <w:r>
        <w:rPr>
          <w:spacing w:val="-10"/>
        </w:rPr>
        <w:t>化未执行完毕、结转到本年度按有关规定继续使用的资金，既</w:t>
      </w:r>
      <w:r>
        <w:rPr>
          <w:spacing w:val="-9"/>
        </w:rPr>
        <w:t>包括财政拨款结转和结余，也包括事业收入、经营收入、其他</w:t>
      </w:r>
      <w:r>
        <w:t>收入的结转和结余。</w:t>
      </w:r>
    </w:p>
    <w:p>
      <w:pPr>
        <w:pStyle w:val="2"/>
        <w:keepNext w:val="0"/>
        <w:keepLines w:val="0"/>
        <w:pageBreakBefore w:val="0"/>
        <w:widowControl w:val="0"/>
        <w:kinsoku/>
        <w:wordWrap/>
        <w:overflowPunct/>
        <w:topLinePunct w:val="0"/>
        <w:autoSpaceDE w:val="0"/>
        <w:autoSpaceDN w:val="0"/>
        <w:bidi w:val="0"/>
        <w:adjustRightInd/>
        <w:snapToGrid/>
        <w:spacing w:before="10" w:after="0" w:afterLines="50" w:line="360" w:lineRule="auto"/>
        <w:ind w:left="870"/>
        <w:textAlignment w:val="auto"/>
        <w:rPr>
          <w:sz w:val="38"/>
        </w:rPr>
      </w:pPr>
      <w:r>
        <w:rPr>
          <w:rFonts w:hint="eastAsia" w:ascii="楷体" w:eastAsia="楷体"/>
        </w:rPr>
        <w:t>(九)结余分配：</w:t>
      </w:r>
      <w:r>
        <w:t>反映单位当年结余的分配情况。</w:t>
      </w:r>
    </w:p>
    <w:p>
      <w:pPr>
        <w:pStyle w:val="2"/>
        <w:keepNext w:val="0"/>
        <w:keepLines w:val="0"/>
        <w:pageBreakBefore w:val="0"/>
        <w:widowControl w:val="0"/>
        <w:kinsoku/>
        <w:wordWrap/>
        <w:overflowPunct/>
        <w:topLinePunct w:val="0"/>
        <w:autoSpaceDE w:val="0"/>
        <w:autoSpaceDN w:val="0"/>
        <w:bidi w:val="0"/>
        <w:adjustRightInd/>
        <w:snapToGrid/>
        <w:spacing w:before="10" w:after="0" w:afterLines="50" w:line="360" w:lineRule="auto"/>
        <w:ind w:left="230" w:right="263" w:firstLine="640"/>
        <w:jc w:val="both"/>
        <w:textAlignment w:val="auto"/>
      </w:pPr>
      <w:r>
        <w:rPr>
          <w:rFonts w:hint="eastAsia" w:ascii="楷体" w:eastAsia="楷体"/>
        </w:rPr>
        <w:t>(十)年末结转和结余:</w:t>
      </w:r>
      <w:r>
        <w:t>指本年度或以前年度预算安排、因</w:t>
      </w:r>
      <w:r>
        <w:rPr>
          <w:spacing w:val="-8"/>
        </w:rPr>
        <w:t>客观条件发生变化无法按原计划实施，需要延迟到以后年度按</w:t>
      </w:r>
      <w:r>
        <w:rPr>
          <w:spacing w:val="-9"/>
        </w:rPr>
        <w:t>有关规定继续使用的资金，既包括财政拨款结转和结余，也包</w:t>
      </w:r>
      <w:r>
        <w:t>括事业收入、经营收入、其他收入的结转和结余。</w:t>
      </w:r>
    </w:p>
    <w:p>
      <w:pPr>
        <w:pStyle w:val="2"/>
        <w:keepNext w:val="0"/>
        <w:keepLines w:val="0"/>
        <w:pageBreakBefore w:val="0"/>
        <w:widowControl w:val="0"/>
        <w:kinsoku/>
        <w:wordWrap/>
        <w:overflowPunct/>
        <w:topLinePunct w:val="0"/>
        <w:autoSpaceDE w:val="0"/>
        <w:autoSpaceDN w:val="0"/>
        <w:bidi w:val="0"/>
        <w:adjustRightInd/>
        <w:snapToGrid/>
        <w:spacing w:before="10" w:after="0" w:afterLines="50" w:line="360" w:lineRule="auto"/>
        <w:ind w:left="230" w:right="265" w:firstLine="640"/>
        <w:textAlignment w:val="auto"/>
      </w:pPr>
      <w:r>
        <w:rPr>
          <w:rFonts w:hint="eastAsia" w:ascii="楷体" w:eastAsia="楷体"/>
          <w:spacing w:val="-7"/>
        </w:rPr>
        <w:t>(十ー)基本支出：</w:t>
      </w:r>
      <w:r>
        <w:rPr>
          <w:spacing w:val="-6"/>
        </w:rPr>
        <w:t>指为保障机构正常运转、完成日常工作</w:t>
      </w:r>
      <w:r>
        <w:t>任务而发生的人员支出和公用支出。</w:t>
      </w:r>
    </w:p>
    <w:p>
      <w:pPr>
        <w:pStyle w:val="2"/>
        <w:keepNext w:val="0"/>
        <w:keepLines w:val="0"/>
        <w:pageBreakBefore w:val="0"/>
        <w:widowControl w:val="0"/>
        <w:kinsoku/>
        <w:wordWrap/>
        <w:overflowPunct/>
        <w:topLinePunct w:val="0"/>
        <w:autoSpaceDE w:val="0"/>
        <w:autoSpaceDN w:val="0"/>
        <w:bidi w:val="0"/>
        <w:adjustRightInd/>
        <w:snapToGrid/>
        <w:spacing w:before="10" w:after="0" w:afterLines="50" w:line="360" w:lineRule="auto"/>
        <w:ind w:left="230" w:right="265" w:firstLine="640"/>
        <w:textAlignment w:val="auto"/>
      </w:pPr>
      <w:r>
        <w:rPr>
          <w:rFonts w:hint="eastAsia" w:ascii="楷体" w:eastAsia="楷体"/>
          <w:spacing w:val="-13"/>
        </w:rPr>
        <w:t>(十ニ)项目支出：</w:t>
      </w:r>
      <w:r>
        <w:rPr>
          <w:spacing w:val="-1"/>
        </w:rPr>
        <w:t>指在基本支出之外为完成特定行政任务</w:t>
      </w:r>
      <w:r>
        <w:t>和事业发展目标所发生的支出。</w:t>
      </w:r>
    </w:p>
    <w:p>
      <w:pPr>
        <w:pStyle w:val="2"/>
        <w:keepNext w:val="0"/>
        <w:keepLines w:val="0"/>
        <w:pageBreakBefore w:val="0"/>
        <w:widowControl w:val="0"/>
        <w:kinsoku/>
        <w:wordWrap/>
        <w:overflowPunct/>
        <w:topLinePunct w:val="0"/>
        <w:autoSpaceDE w:val="0"/>
        <w:autoSpaceDN w:val="0"/>
        <w:bidi w:val="0"/>
        <w:adjustRightInd/>
        <w:snapToGrid/>
        <w:spacing w:before="10" w:after="0" w:afterLines="50" w:line="360" w:lineRule="auto"/>
        <w:ind w:left="230" w:right="265" w:firstLine="640"/>
        <w:textAlignment w:val="auto"/>
      </w:pPr>
      <w:r>
        <w:rPr>
          <w:rFonts w:hint="eastAsia" w:ascii="楷体" w:eastAsia="楷体"/>
          <w:spacing w:val="-13"/>
        </w:rPr>
        <w:t>(十三)经营支出：</w:t>
      </w:r>
      <w:r>
        <w:rPr>
          <w:spacing w:val="-1"/>
        </w:rPr>
        <w:t>指事业单位在专业业务活动及其辅助活</w:t>
      </w:r>
      <w:r>
        <w:t>动之外开展非独立核算经营活动发生的支出。</w:t>
      </w:r>
    </w:p>
    <w:p>
      <w:pPr>
        <w:pStyle w:val="2"/>
        <w:keepNext w:val="0"/>
        <w:keepLines w:val="0"/>
        <w:pageBreakBefore w:val="0"/>
        <w:widowControl w:val="0"/>
        <w:kinsoku/>
        <w:wordWrap/>
        <w:overflowPunct/>
        <w:topLinePunct w:val="0"/>
        <w:autoSpaceDE w:val="0"/>
        <w:autoSpaceDN w:val="0"/>
        <w:bidi w:val="0"/>
        <w:adjustRightInd/>
        <w:snapToGrid/>
        <w:spacing w:before="10" w:after="0" w:afterLines="50" w:line="360" w:lineRule="auto"/>
        <w:ind w:left="230" w:right="265" w:firstLine="640"/>
        <w:textAlignment w:val="auto"/>
      </w:pPr>
      <w:r>
        <w:rPr>
          <w:rFonts w:hint="eastAsia" w:ascii="楷体" w:eastAsia="楷体"/>
          <w:spacing w:val="-8"/>
        </w:rPr>
        <w:t>(十四)对附属单位补助支出：</w:t>
      </w:r>
      <w:r>
        <w:rPr>
          <w:spacing w:val="-2"/>
        </w:rPr>
        <w:t>指事业单位发生的用非财政</w:t>
      </w:r>
      <w:r>
        <w:t>预算资金对附属单位的补助支出。</w:t>
      </w:r>
    </w:p>
    <w:p>
      <w:pPr>
        <w:pStyle w:val="2"/>
        <w:keepNext w:val="0"/>
        <w:keepLines w:val="0"/>
        <w:pageBreakBefore w:val="0"/>
        <w:widowControl w:val="0"/>
        <w:kinsoku/>
        <w:wordWrap/>
        <w:overflowPunct/>
        <w:topLinePunct w:val="0"/>
        <w:autoSpaceDE w:val="0"/>
        <w:autoSpaceDN w:val="0"/>
        <w:bidi w:val="0"/>
        <w:adjustRightInd/>
        <w:snapToGrid/>
        <w:spacing w:before="10" w:after="0" w:afterLines="50" w:line="360" w:lineRule="auto"/>
        <w:ind w:left="230" w:right="104" w:firstLine="640"/>
        <w:textAlignment w:val="auto"/>
      </w:pPr>
      <w:r>
        <w:rPr>
          <w:rFonts w:hint="eastAsia" w:ascii="楷体" w:hAnsi="楷体" w:eastAsia="楷体"/>
          <w:spacing w:val="-21"/>
        </w:rPr>
        <w:t>(十五)“三公”经费：</w:t>
      </w:r>
      <w:r>
        <w:rPr>
          <w:spacing w:val="-7"/>
        </w:rPr>
        <w:t xml:space="preserve">纳入同级财政预决算管理的“三公” </w:t>
      </w:r>
      <w:r>
        <w:rPr>
          <w:spacing w:val="-5"/>
        </w:rPr>
        <w:t>经费是指用一般公共预算财政</w:t>
      </w:r>
      <w:r>
        <w:rPr>
          <w:rFonts w:hint="eastAsia"/>
          <w:spacing w:val="-5"/>
          <w:lang w:eastAsia="zh-CN"/>
        </w:rPr>
        <w:t>拨</w:t>
      </w:r>
      <w:r>
        <w:rPr>
          <w:spacing w:val="-5"/>
        </w:rPr>
        <w:t>款安排的因公出国(境)费、公</w:t>
      </w:r>
      <w:r>
        <w:rPr>
          <w:spacing w:val="-11"/>
        </w:rPr>
        <w:t>务用车购置及运行费和公务接待费。其中，因公出国(境)费反</w:t>
      </w:r>
      <w:r>
        <w:rPr>
          <w:spacing w:val="-16"/>
        </w:rPr>
        <w:t>映单位公务出国(境)的住宿费、旅费、伙食补助费、杂费、培</w:t>
      </w:r>
      <w:r>
        <w:rPr>
          <w:spacing w:val="-15"/>
        </w:rPr>
        <w:t>训费等支出;公务用车购置及运行费反映单位公务用车购置费</w:t>
      </w:r>
      <w:r>
        <w:rPr>
          <w:spacing w:val="-13"/>
        </w:rPr>
        <w:t xml:space="preserve">及租用费、燃料费、维修费、过路过桥费、保险费、安全奖励费用等支出;公务接待费反映单位按规定开支的各类公务接待 </w:t>
      </w:r>
      <w:r>
        <w:rPr>
          <w:spacing w:val="-11"/>
        </w:rPr>
        <w:t>(含外宾接待)支出。</w:t>
      </w:r>
    </w:p>
    <w:p>
      <w:pPr>
        <w:pStyle w:val="2"/>
        <w:keepNext w:val="0"/>
        <w:keepLines w:val="0"/>
        <w:pageBreakBefore w:val="0"/>
        <w:widowControl w:val="0"/>
        <w:kinsoku/>
        <w:wordWrap/>
        <w:overflowPunct/>
        <w:topLinePunct w:val="0"/>
        <w:autoSpaceDE w:val="0"/>
        <w:autoSpaceDN w:val="0"/>
        <w:bidi w:val="0"/>
        <w:adjustRightInd/>
        <w:snapToGrid/>
        <w:spacing w:before="10" w:after="0" w:afterLines="50" w:line="360" w:lineRule="auto"/>
        <w:ind w:left="230" w:right="104" w:firstLine="640"/>
        <w:textAlignment w:val="auto"/>
      </w:pPr>
      <w:r>
        <w:rPr>
          <w:rFonts w:hint="eastAsia" w:ascii="楷体" w:eastAsia="楷体"/>
        </w:rPr>
        <w:t>(十六)机关运行经费：</w:t>
      </w:r>
      <w:r>
        <w:t>为保障行政单位(含参照公务员法管理的事业单位)运行用于购买货物和服务的各项资金，包括</w:t>
      </w:r>
      <w:r>
        <w:rPr>
          <w:spacing w:val="-18"/>
        </w:rPr>
        <w:t>办公及印刷费、邮电费、差旅费、会议费、福利费日常维修费、</w:t>
      </w:r>
      <w:r>
        <w:rPr>
          <w:spacing w:val="-8"/>
        </w:rPr>
        <w:t>专用材料及一般设备购置费、办公用房水电费、办公用房取暖</w:t>
      </w:r>
      <w:r>
        <w:rPr>
          <w:spacing w:val="-18"/>
        </w:rPr>
        <w:t>费、办公用房物业管理费、公务用车运行维护费以及其他费用。</w:t>
      </w:r>
    </w:p>
    <w:p>
      <w:pPr>
        <w:pStyle w:val="2"/>
        <w:keepNext w:val="0"/>
        <w:keepLines w:val="0"/>
        <w:pageBreakBefore w:val="0"/>
        <w:widowControl w:val="0"/>
        <w:kinsoku/>
        <w:wordWrap/>
        <w:overflowPunct/>
        <w:topLinePunct w:val="0"/>
        <w:autoSpaceDE w:val="0"/>
        <w:autoSpaceDN w:val="0"/>
        <w:bidi w:val="0"/>
        <w:adjustRightInd/>
        <w:snapToGrid/>
        <w:spacing w:before="10" w:after="0" w:afterLines="50" w:line="360" w:lineRule="auto"/>
        <w:ind w:left="870"/>
        <w:textAlignment w:val="auto"/>
        <w:rPr>
          <w:rFonts w:hint="eastAsia" w:ascii="楷体" w:eastAsia="楷体"/>
        </w:rPr>
      </w:pPr>
      <w:r>
        <w:rPr>
          <w:rFonts w:hint="eastAsia" w:ascii="楷体" w:eastAsia="楷体"/>
        </w:rPr>
        <w:t>(十七)其他需要解释的名词</w:t>
      </w:r>
    </w:p>
    <w:p>
      <w:pPr>
        <w:pStyle w:val="2"/>
        <w:keepNext w:val="0"/>
        <w:keepLines w:val="0"/>
        <w:pageBreakBefore w:val="0"/>
        <w:widowControl w:val="0"/>
        <w:kinsoku/>
        <w:wordWrap/>
        <w:overflowPunct/>
        <w:topLinePunct w:val="0"/>
        <w:autoSpaceDE w:val="0"/>
        <w:autoSpaceDN w:val="0"/>
        <w:bidi w:val="0"/>
        <w:adjustRightInd/>
        <w:snapToGrid/>
        <w:spacing w:before="10" w:after="0" w:afterLines="50" w:line="360" w:lineRule="auto"/>
        <w:ind w:left="870"/>
        <w:textAlignment w:val="auto"/>
        <w:rPr>
          <w:rFonts w:hint="eastAsia" w:ascii="楷体" w:hAnsi="楷体" w:eastAsia="楷体" w:cs="楷体"/>
          <w:b w:val="0"/>
          <w:bCs w:val="0"/>
        </w:rPr>
      </w:pPr>
      <w:r>
        <w:rPr>
          <w:rFonts w:hint="eastAsia" w:ascii="楷体" w:hAnsi="楷体" w:eastAsia="楷体" w:cs="楷体"/>
          <w:b w:val="0"/>
          <w:bCs w:val="0"/>
          <w:lang w:val="en-US" w:eastAsia="zh-CN"/>
        </w:rPr>
        <w:t>附件</w:t>
      </w:r>
      <w:r>
        <w:rPr>
          <w:rFonts w:hint="eastAsia" w:ascii="楷体" w:hAnsi="楷体" w:eastAsia="楷体" w:cs="楷体"/>
          <w:b w:val="0"/>
          <w:bCs w:val="0"/>
        </w:rPr>
        <w:t>20</w:t>
      </w:r>
      <w:r>
        <w:rPr>
          <w:rFonts w:hint="eastAsia" w:ascii="楷体" w:hAnsi="楷体" w:eastAsia="楷体" w:cs="楷体"/>
          <w:b w:val="0"/>
          <w:bCs w:val="0"/>
          <w:lang w:val="en-US" w:eastAsia="zh-CN"/>
        </w:rPr>
        <w:t>21</w:t>
      </w:r>
      <w:r>
        <w:rPr>
          <w:rFonts w:hint="eastAsia" w:ascii="楷体" w:hAnsi="楷体" w:eastAsia="楷体" w:cs="楷体"/>
          <w:b w:val="0"/>
          <w:bCs w:val="0"/>
        </w:rPr>
        <w:t>年度部门决算公开报表</w:t>
      </w:r>
    </w:p>
    <w:p>
      <w:r>
        <w:drawing>
          <wp:inline distT="0" distB="0" distL="114300" distR="114300">
            <wp:extent cx="5953125" cy="494347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5953125" cy="4943475"/>
                    </a:xfrm>
                    <a:prstGeom prst="rect">
                      <a:avLst/>
                    </a:prstGeom>
                    <a:noFill/>
                    <a:ln>
                      <a:noFill/>
                    </a:ln>
                  </pic:spPr>
                </pic:pic>
              </a:graphicData>
            </a:graphic>
          </wp:inline>
        </w:drawing>
      </w:r>
    </w:p>
    <w:p/>
    <w:p/>
    <w:p/>
    <w:p/>
    <w:p/>
    <w:p/>
    <w:p/>
    <w:p/>
    <w:p/>
    <w:p/>
    <w:p/>
    <w:p/>
    <w:p/>
    <w:p/>
    <w:p/>
    <w:p/>
    <w:p/>
    <w:p/>
    <w:p/>
    <w:p>
      <w:r>
        <w:drawing>
          <wp:inline distT="0" distB="0" distL="114300" distR="114300">
            <wp:extent cx="5269230" cy="2270125"/>
            <wp:effectExtent l="0" t="0" r="7620" b="1587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9"/>
                    <a:stretch>
                      <a:fillRect/>
                    </a:stretch>
                  </pic:blipFill>
                  <pic:spPr>
                    <a:xfrm>
                      <a:off x="0" y="0"/>
                      <a:ext cx="5269230" cy="2270125"/>
                    </a:xfrm>
                    <a:prstGeom prst="rect">
                      <a:avLst/>
                    </a:prstGeom>
                    <a:noFill/>
                    <a:ln>
                      <a:noFill/>
                    </a:ln>
                  </pic:spPr>
                </pic:pic>
              </a:graphicData>
            </a:graphic>
          </wp:inline>
        </w:drawing>
      </w:r>
    </w:p>
    <w:p/>
    <w:p/>
    <w:p/>
    <w:p/>
    <w:p/>
    <w:p/>
    <w:p/>
    <w:p/>
    <w:p/>
    <w:p/>
    <w:p/>
    <w:p/>
    <w:p/>
    <w:p/>
    <w:p/>
    <w:p/>
    <w:p/>
    <w:p/>
    <w:p/>
    <w:p/>
    <w:p/>
    <w:p/>
    <w:p/>
    <w:p/>
    <w:p/>
    <w:p/>
    <w:p/>
    <w:p/>
    <w:p/>
    <w:p/>
    <w:p/>
    <w:p/>
    <w:p>
      <w:r>
        <w:drawing>
          <wp:inline distT="0" distB="0" distL="114300" distR="114300">
            <wp:extent cx="5265420" cy="2510155"/>
            <wp:effectExtent l="0" t="0" r="11430" b="444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0"/>
                    <a:stretch>
                      <a:fillRect/>
                    </a:stretch>
                  </pic:blipFill>
                  <pic:spPr>
                    <a:xfrm>
                      <a:off x="0" y="0"/>
                      <a:ext cx="5265420" cy="2510155"/>
                    </a:xfrm>
                    <a:prstGeom prst="rect">
                      <a:avLst/>
                    </a:prstGeom>
                    <a:noFill/>
                    <a:ln>
                      <a:noFill/>
                    </a:ln>
                  </pic:spPr>
                </pic:pic>
              </a:graphicData>
            </a:graphic>
          </wp:inline>
        </w:drawing>
      </w:r>
    </w:p>
    <w:p/>
    <w:p/>
    <w:p/>
    <w:p/>
    <w:p/>
    <w:p/>
    <w:p/>
    <w:p/>
    <w:p/>
    <w:p/>
    <w:p/>
    <w:p/>
    <w:p/>
    <w:p/>
    <w:p/>
    <w:p/>
    <w:p/>
    <w:p/>
    <w:p/>
    <w:p/>
    <w:p/>
    <w:p/>
    <w:p/>
    <w:p/>
    <w:p/>
    <w:p/>
    <w:p/>
    <w:p/>
    <w:p/>
    <w:p/>
    <w:p/>
    <w:p>
      <w:r>
        <w:drawing>
          <wp:inline distT="0" distB="0" distL="114300" distR="114300">
            <wp:extent cx="5272405" cy="3783965"/>
            <wp:effectExtent l="0" t="0" r="4445" b="698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1"/>
                    <a:stretch>
                      <a:fillRect/>
                    </a:stretch>
                  </pic:blipFill>
                  <pic:spPr>
                    <a:xfrm>
                      <a:off x="0" y="0"/>
                      <a:ext cx="5272405" cy="3783965"/>
                    </a:xfrm>
                    <a:prstGeom prst="rect">
                      <a:avLst/>
                    </a:prstGeom>
                    <a:noFill/>
                    <a:ln>
                      <a:noFill/>
                    </a:ln>
                  </pic:spPr>
                </pic:pic>
              </a:graphicData>
            </a:graphic>
          </wp:inline>
        </w:drawing>
      </w:r>
    </w:p>
    <w:p/>
    <w:p/>
    <w:p/>
    <w:p/>
    <w:p/>
    <w:p/>
    <w:p/>
    <w:p/>
    <w:p/>
    <w:p/>
    <w:p/>
    <w:p/>
    <w:p/>
    <w:p/>
    <w:p/>
    <w:p/>
    <w:p/>
    <w:p/>
    <w:p/>
    <w:p/>
    <w:p/>
    <w:p/>
    <w:p/>
    <w:p/>
    <w:p>
      <w:r>
        <w:drawing>
          <wp:inline distT="0" distB="0" distL="114300" distR="114300">
            <wp:extent cx="5267325" cy="3362960"/>
            <wp:effectExtent l="0" t="0" r="9525" b="889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2"/>
                    <a:stretch>
                      <a:fillRect/>
                    </a:stretch>
                  </pic:blipFill>
                  <pic:spPr>
                    <a:xfrm>
                      <a:off x="0" y="0"/>
                      <a:ext cx="5267325" cy="3362960"/>
                    </a:xfrm>
                    <a:prstGeom prst="rect">
                      <a:avLst/>
                    </a:prstGeom>
                    <a:noFill/>
                    <a:ln>
                      <a:noFill/>
                    </a:ln>
                  </pic:spPr>
                </pic:pic>
              </a:graphicData>
            </a:graphic>
          </wp:inline>
        </w:drawing>
      </w:r>
    </w:p>
    <w:p/>
    <w:p/>
    <w:p/>
    <w:p/>
    <w:p/>
    <w:p/>
    <w:p/>
    <w:p/>
    <w:p/>
    <w:p/>
    <w:p/>
    <w:p/>
    <w:p/>
    <w:p/>
    <w:p/>
    <w:p/>
    <w:p/>
    <w:p/>
    <w:p/>
    <w:p/>
    <w:p/>
    <w:p/>
    <w:p/>
    <w:p/>
    <w:p/>
    <w:p>
      <w:r>
        <w:drawing>
          <wp:inline distT="0" distB="0" distL="114300" distR="114300">
            <wp:extent cx="8537575" cy="3165475"/>
            <wp:effectExtent l="0" t="0" r="15875" b="1587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3"/>
                    <a:stretch>
                      <a:fillRect/>
                    </a:stretch>
                  </pic:blipFill>
                  <pic:spPr>
                    <a:xfrm rot="5400000">
                      <a:off x="0" y="0"/>
                      <a:ext cx="8537575" cy="3165475"/>
                    </a:xfrm>
                    <a:prstGeom prst="rect">
                      <a:avLst/>
                    </a:prstGeom>
                    <a:noFill/>
                    <a:ln>
                      <a:noFill/>
                    </a:ln>
                  </pic:spPr>
                </pic:pic>
              </a:graphicData>
            </a:graphic>
          </wp:inline>
        </w:drawing>
      </w:r>
    </w:p>
    <w:p>
      <w:r>
        <w:drawing>
          <wp:inline distT="0" distB="0" distL="114300" distR="114300">
            <wp:extent cx="5271135" cy="1194435"/>
            <wp:effectExtent l="0" t="0" r="5715" b="571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4"/>
                    <a:stretch>
                      <a:fillRect/>
                    </a:stretch>
                  </pic:blipFill>
                  <pic:spPr>
                    <a:xfrm>
                      <a:off x="0" y="0"/>
                      <a:ext cx="5271135" cy="1194435"/>
                    </a:xfrm>
                    <a:prstGeom prst="rect">
                      <a:avLst/>
                    </a:prstGeom>
                    <a:noFill/>
                    <a:ln>
                      <a:noFill/>
                    </a:ln>
                  </pic:spPr>
                </pic:pic>
              </a:graphicData>
            </a:graphic>
          </wp:inline>
        </w:drawing>
      </w:r>
    </w:p>
    <w:p/>
    <w:p/>
    <w:p/>
    <w:p/>
    <w:p/>
    <w:p/>
    <w:p/>
    <w:p/>
    <w:p/>
    <w:p/>
    <w:p/>
    <w:p/>
    <w:p/>
    <w:p/>
    <w:p/>
    <w:p/>
    <w:p/>
    <w:p/>
    <w:p/>
    <w:p/>
    <w:p/>
    <w:p/>
    <w:p/>
    <w:p/>
    <w:p/>
    <w:p/>
    <w:p/>
    <w:p/>
    <w:p/>
    <w:p/>
    <w:p/>
    <w:p/>
    <w:p/>
    <w:p/>
    <w:p/>
    <w:p/>
    <w:p/>
    <w:p>
      <w:r>
        <w:drawing>
          <wp:inline distT="0" distB="0" distL="114300" distR="114300">
            <wp:extent cx="5273675" cy="1288415"/>
            <wp:effectExtent l="0" t="0" r="3175" b="698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5"/>
                    <a:stretch>
                      <a:fillRect/>
                    </a:stretch>
                  </pic:blipFill>
                  <pic:spPr>
                    <a:xfrm>
                      <a:off x="0" y="0"/>
                      <a:ext cx="5273675" cy="1288415"/>
                    </a:xfrm>
                    <a:prstGeom prst="rect">
                      <a:avLst/>
                    </a:prstGeom>
                    <a:noFill/>
                    <a:ln>
                      <a:noFill/>
                    </a:ln>
                  </pic:spPr>
                </pic:pic>
              </a:graphicData>
            </a:graphic>
          </wp:inline>
        </w:drawing>
      </w:r>
    </w:p>
    <w:p>
      <w:pPr>
        <w:rPr>
          <w:rFonts w:hint="eastAsia" w:eastAsia="宋体"/>
          <w:lang w:eastAsia="zh-CN"/>
        </w:rPr>
      </w:pPr>
      <w:r>
        <w:rPr>
          <w:rFonts w:hint="eastAsia"/>
          <w:lang w:eastAsia="zh-CN"/>
        </w:rPr>
        <w:t>备注：我单位无政府性基金预算收支，故本表无数据。</w:t>
      </w:r>
    </w:p>
    <w:p/>
    <w:p/>
    <w:p/>
    <w:p/>
    <w:p/>
    <w:p/>
    <w:p/>
    <w:p/>
    <w:p/>
    <w:p/>
    <w:p/>
    <w:p/>
    <w:p/>
    <w:p/>
    <w:p/>
    <w:p/>
    <w:p/>
    <w:p/>
    <w:p/>
    <w:p/>
    <w:p/>
    <w:p/>
    <w:p/>
    <w:p/>
    <w:p/>
    <w:p/>
    <w:p/>
    <w:p/>
    <w:p/>
    <w:p/>
    <w:p/>
    <w:p/>
    <w:p/>
    <w:p/>
    <w:p/>
    <w:p/>
    <w:p>
      <w:r>
        <w:drawing>
          <wp:inline distT="0" distB="0" distL="114300" distR="114300">
            <wp:extent cx="5273040" cy="2282825"/>
            <wp:effectExtent l="0" t="0" r="3810" b="317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6"/>
                    <a:stretch>
                      <a:fillRect/>
                    </a:stretch>
                  </pic:blipFill>
                  <pic:spPr>
                    <a:xfrm>
                      <a:off x="0" y="0"/>
                      <a:ext cx="5273040" cy="2282825"/>
                    </a:xfrm>
                    <a:prstGeom prst="rect">
                      <a:avLst/>
                    </a:prstGeom>
                    <a:noFill/>
                    <a:ln>
                      <a:noFill/>
                    </a:ln>
                  </pic:spPr>
                </pic:pic>
              </a:graphicData>
            </a:graphic>
          </wp:inline>
        </w:drawing>
      </w:r>
    </w:p>
    <w:p>
      <w:pPr>
        <w:rPr>
          <w:rFonts w:hint="eastAsia" w:eastAsia="宋体"/>
          <w:lang w:eastAsia="zh-CN"/>
        </w:rPr>
      </w:pPr>
      <w:r>
        <w:rPr>
          <w:rFonts w:hint="eastAsia"/>
          <w:lang w:eastAsia="zh-CN"/>
        </w:rPr>
        <w:t>备注：我单位无国有资本经营预算支出，故本表无数据。</w:t>
      </w:r>
      <w:bookmarkStart w:id="1" w:name="_GoBack"/>
      <w:bookmarkEnd w:id="1"/>
    </w:p>
    <w:p/>
    <w:p/>
    <w:p/>
    <w:p/>
    <w:p/>
    <w:p/>
    <w:p/>
    <w:p/>
    <w:p/>
    <w:p/>
    <w:p/>
    <w:p/>
    <w:p/>
    <w:p/>
    <w:p/>
    <w:p/>
    <w:p/>
    <w:p/>
    <w:p/>
    <w:p/>
    <w:p/>
    <w:p/>
    <w:p/>
    <w:p/>
    <w:p/>
    <w:p/>
    <w:p/>
    <w:p/>
    <w:p/>
    <w:p/>
    <w:p/>
    <w:p>
      <w:r>
        <w:drawing>
          <wp:inline distT="0" distB="0" distL="114300" distR="114300">
            <wp:extent cx="4895850" cy="4752975"/>
            <wp:effectExtent l="0" t="0" r="0" b="952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7"/>
                    <a:stretch>
                      <a:fillRect/>
                    </a:stretch>
                  </pic:blipFill>
                  <pic:spPr>
                    <a:xfrm>
                      <a:off x="0" y="0"/>
                      <a:ext cx="4895850" cy="4752975"/>
                    </a:xfrm>
                    <a:prstGeom prst="rect">
                      <a:avLst/>
                    </a:prstGeom>
                    <a:noFill/>
                    <a:ln>
                      <a:noFill/>
                    </a:ln>
                  </pic:spPr>
                </pic:pic>
              </a:graphicData>
            </a:graphic>
          </wp:inline>
        </w:drawing>
      </w:r>
    </w:p>
    <w:p/>
    <w:p/>
    <w:p/>
    <w:p/>
    <w:p/>
    <w:p/>
    <w:p/>
    <w:p/>
    <w:p/>
    <w:p/>
    <w:p/>
    <w:p/>
    <w:p/>
    <w:p/>
    <w:p/>
    <w:p/>
    <w:sectPr>
      <w:footerReference r:id="rId6"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5WZn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lZmfjICAABjBAAADgAAAAAAAAABACAAAAAfAQAAZHJzL2Uyb0RvYy54bWxQSwUG&#10;AAAAAAYABgBZAQAAww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67005" cy="139700"/>
              <wp:effectExtent l="0" t="0" r="0" b="0"/>
              <wp:wrapNone/>
              <wp:docPr id="11" name="文本框 1025"/>
              <wp:cNvGraphicFramePr/>
              <a:graphic xmlns:a="http://schemas.openxmlformats.org/drawingml/2006/main">
                <a:graphicData uri="http://schemas.microsoft.com/office/word/2010/wordprocessingShape">
                  <wps:wsp>
                    <wps:cNvSpPr txBox="1"/>
                    <wps:spPr>
                      <a:xfrm>
                        <a:off x="0" y="0"/>
                        <a:ext cx="167005" cy="139700"/>
                      </a:xfrm>
                      <a:prstGeom prst="rect">
                        <a:avLst/>
                      </a:prstGeom>
                      <a:noFill/>
                      <a:ln>
                        <a:noFill/>
                      </a:ln>
                    </wps:spPr>
                    <wps:txbx>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10</w:t>
                          </w:r>
                          <w:r>
                            <w:fldChar w:fldCharType="end"/>
                          </w:r>
                        </w:p>
                      </w:txbxContent>
                    </wps:txbx>
                    <wps:bodyPr lIns="0" tIns="0" rIns="0" bIns="0" upright="1"/>
                  </wps:wsp>
                </a:graphicData>
              </a:graphic>
            </wp:anchor>
          </w:drawing>
        </mc:Choice>
        <mc:Fallback>
          <w:pict>
            <v:shape id="文本框 1025" o:spid="_x0000_s1026" o:spt="202" type="#_x0000_t202" style="position:absolute;left:0pt;margin-top:0pt;height:11pt;width:13.15pt;mso-position-horizontal:center;mso-position-horizontal-relative:margin;z-index:251659264;mso-width-relative:page;mso-height-relative:page;" filled="f" stroked="f" coordsize="21600,21600" o:gfxdata="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BmyT9o0wAAAAMBAAAPAAAAAAAAAAEAIAAAACIAAABkcnMvZG93bnJldi54bWxQSwECFAAUAAAA&#10;CACHTuJAVez80roBAAB1AwAADgAAAAAAAAABACAAAAAiAQAAZHJzL2Uyb0RvYy54bWxQSwUGAAAA&#10;AAYABgBZAQAATgUAAAAA&#10;">
              <v:fill on="f" focussize="0,0"/>
              <v:stroke on="f"/>
              <v:imagedata o:title=""/>
              <o:lock v:ext="edit" aspectratio="f"/>
              <v:textbox inset="0mm,0mm,0mm,0mm">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10</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20E1C7"/>
    <w:multiLevelType w:val="singleLevel"/>
    <w:tmpl w:val="A820E1C7"/>
    <w:lvl w:ilvl="0" w:tentative="0">
      <w:start w:val="2"/>
      <w:numFmt w:val="decimal"/>
      <w:suff w:val="nothing"/>
      <w:lvlText w:val="%1、"/>
      <w:lvlJc w:val="left"/>
    </w:lvl>
  </w:abstractNum>
  <w:abstractNum w:abstractNumId="1">
    <w:nsid w:val="6B650120"/>
    <w:multiLevelType w:val="singleLevel"/>
    <w:tmpl w:val="6B650120"/>
    <w:lvl w:ilvl="0" w:tentative="0">
      <w:start w:val="1"/>
      <w:numFmt w:val="chineseCounting"/>
      <w:suff w:val="nothing"/>
      <w:lvlText w:val="%1、"/>
      <w:lvlJc w:val="left"/>
      <w:rPr>
        <w:rFonts w:hint="eastAsia"/>
      </w:rPr>
    </w:lvl>
  </w:abstractNum>
  <w:abstractNum w:abstractNumId="2">
    <w:nsid w:val="7BB41FB1"/>
    <w:multiLevelType w:val="singleLevel"/>
    <w:tmpl w:val="7BB41FB1"/>
    <w:lvl w:ilvl="0" w:tentative="0">
      <w:start w:val="2"/>
      <w:numFmt w:val="chineseCounting"/>
      <w:lvlText w:val="第%1部分"/>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EwMTVmZjlkZDVhZDcwZmU1MTgwZmFkNTY5NWVjYWEifQ=="/>
  </w:docVars>
  <w:rsids>
    <w:rsidRoot w:val="6832795F"/>
    <w:rsid w:val="00320DCB"/>
    <w:rsid w:val="00345605"/>
    <w:rsid w:val="004842EA"/>
    <w:rsid w:val="058A7C48"/>
    <w:rsid w:val="11C9066B"/>
    <w:rsid w:val="147B7751"/>
    <w:rsid w:val="1E135668"/>
    <w:rsid w:val="24B959FC"/>
    <w:rsid w:val="291C06CD"/>
    <w:rsid w:val="2C810C35"/>
    <w:rsid w:val="2E411600"/>
    <w:rsid w:val="35C5244E"/>
    <w:rsid w:val="3BC9688E"/>
    <w:rsid w:val="3CCF4912"/>
    <w:rsid w:val="47D83CFB"/>
    <w:rsid w:val="48EF72EB"/>
    <w:rsid w:val="4C564E70"/>
    <w:rsid w:val="522A07D1"/>
    <w:rsid w:val="56BC4D54"/>
    <w:rsid w:val="57346F23"/>
    <w:rsid w:val="57C42C0B"/>
    <w:rsid w:val="5B233C05"/>
    <w:rsid w:val="61FB5A58"/>
    <w:rsid w:val="61FE4C12"/>
    <w:rsid w:val="62204D5F"/>
    <w:rsid w:val="6832795F"/>
    <w:rsid w:val="687C4343"/>
    <w:rsid w:val="6FBD653A"/>
    <w:rsid w:val="7472786D"/>
    <w:rsid w:val="777C774E"/>
    <w:rsid w:val="7B2848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仿宋" w:hAnsi="仿宋" w:eastAsia="仿宋" w:cs="仿宋"/>
      <w:sz w:val="32"/>
      <w:szCs w:val="32"/>
      <w:lang w:val="zh-CN" w:eastAsia="zh-CN" w:bidi="zh-CN"/>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10.png"/><Relationship Id="rId16" Type="http://schemas.openxmlformats.org/officeDocument/2006/relationships/image" Target="media/image9.png"/><Relationship Id="rId15" Type="http://schemas.openxmlformats.org/officeDocument/2006/relationships/image" Target="media/image8.png"/><Relationship Id="rId14" Type="http://schemas.openxmlformats.org/officeDocument/2006/relationships/image" Target="media/image7.png"/><Relationship Id="rId13" Type="http://schemas.openxmlformats.org/officeDocument/2006/relationships/image" Target="media/image6.png"/><Relationship Id="rId12" Type="http://schemas.openxmlformats.org/officeDocument/2006/relationships/image" Target="media/image5.png"/><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3519</Words>
  <Characters>3822</Characters>
  <Lines>0</Lines>
  <Paragraphs>0</Paragraphs>
  <TotalTime>12</TotalTime>
  <ScaleCrop>false</ScaleCrop>
  <LinksUpToDate>false</LinksUpToDate>
  <CharactersWithSpaces>3911</CharactersWithSpaces>
  <Application>WPS Office_11.1.0.14305_F1E327BC-269C-435d-A152-05C5408002CA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2022-08-17T02:42:00Z</dcterms:created>
  <dc:creator>lenovo</dc:creator>
  <cp:lastModifiedBy>Administrator</cp:lastModifiedBy>
  <dcterms:modified xsi:type="dcterms:W3CDTF">2023-04-24T09:39:51Z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2052-11.1.0.14305</vt:lpwstr>
  </property>
  <property fmtid="{D5CDD505-2E9C-101B-9397-08002B2CF9AE}" pid="3" name="ICV">
    <vt:lpwstr>B17BA792D8D04B5A85C406499DFD351D</vt:lpwstr>
  </property>
</Properties>
</file>